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bookmarkStart w:id="6" w:name="_GoBack"/>
      <w:bookmarkEnd w:id="6"/>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3</w:t>
      </w:r>
      <w:r>
        <w:tab/>
      </w:r>
      <w:r>
        <w:t>R</w:t>
      </w:r>
      <w:r>
        <w:rPr>
          <w:rFonts w:hint="eastAsia" w:eastAsia="宋体"/>
          <w:lang w:eastAsia="zh-CN"/>
        </w:rPr>
        <w:t>2</w:t>
      </w:r>
      <w:r>
        <w:t>-</w:t>
      </w:r>
      <w:r>
        <w:rPr>
          <w:rFonts w:hint="eastAsia" w:eastAsia="宋体"/>
          <w:lang w:eastAsia="zh-CN"/>
        </w:rPr>
        <w:t>2</w:t>
      </w:r>
      <w:r>
        <w:rPr>
          <w:rFonts w:hint="eastAsia" w:eastAsia="宋体"/>
          <w:lang w:val="en-US" w:eastAsia="zh-CN"/>
        </w:rPr>
        <w:t>307795</w:t>
      </w:r>
    </w:p>
    <w:p>
      <w:pPr>
        <w:keepNext w:val="0"/>
        <w:keepLines w:val="0"/>
        <w:widowControl/>
        <w:suppressLineNumbers w:val="0"/>
        <w:jc w:val="left"/>
        <w:rPr>
          <w:rFonts w:hint="eastAsia" w:ascii="Arial" w:hAnsi="Arial" w:cs="Arial"/>
          <w:b/>
          <w:bCs/>
          <w:kern w:val="0"/>
          <w:sz w:val="24"/>
          <w:lang w:val="en-US" w:eastAsia="zh-CN"/>
        </w:rPr>
      </w:pPr>
      <w:r>
        <w:rPr>
          <w:rFonts w:hint="eastAsia" w:ascii="Arial" w:hAnsi="Arial" w:cs="Arial" w:eastAsiaTheme="minorEastAsia"/>
          <w:b/>
          <w:bCs/>
          <w:kern w:val="0"/>
          <w:sz w:val="24"/>
          <w:szCs w:val="22"/>
          <w:lang w:val="en-US" w:eastAsia="zh-CN" w:bidi="ar-SA"/>
        </w:rPr>
        <w:t>Toulouse , FR</w:t>
      </w:r>
      <w:r>
        <w:rPr>
          <w:rFonts w:hint="eastAsia" w:ascii="Arial" w:hAnsi="Arial" w:cs="Arial"/>
          <w:b/>
          <w:bCs/>
          <w:kern w:val="0"/>
          <w:sz w:val="24"/>
          <w:lang w:val="en-US" w:eastAsia="zh-CN"/>
        </w:rPr>
        <w:t>, Aug 21-25, 2023</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hint="eastAsia" w:eastAsia="宋体"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4</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Discussion</w:t>
      </w:r>
      <w:r>
        <w:rPr>
          <w:rFonts w:hint="eastAsia" w:eastAsia="宋体"/>
          <w:sz w:val="22"/>
          <w:lang w:val="en-US" w:eastAsia="zh-CN"/>
        </w:rPr>
        <w:t xml:space="preserve"> </w:t>
      </w:r>
      <w:r>
        <w:rPr>
          <w:rFonts w:hint="eastAsia" w:eastAsia="宋体"/>
          <w:sz w:val="22"/>
          <w:lang w:eastAsia="zh-CN"/>
        </w:rPr>
        <w:t>on QoE measurement for NR-DC</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spacing w:before="120" w:beforeLines="50" w:after="100"/>
        <w:jc w:val="both"/>
        <w:rPr>
          <w:rFonts w:hint="eastAsia"/>
          <w:lang w:val="en-GB"/>
        </w:rPr>
      </w:pPr>
      <w:r>
        <w:rPr>
          <w:rFonts w:hint="eastAsia"/>
        </w:rPr>
        <w:t>Based on the discussion in RAN2</w:t>
      </w:r>
      <w:bookmarkStart w:id="0" w:name="OLE_LINK15"/>
      <w:r>
        <w:rPr>
          <w:rFonts w:hint="eastAsia"/>
        </w:rPr>
        <w:t>#1</w:t>
      </w:r>
      <w:r>
        <w:rPr>
          <w:rFonts w:hint="eastAsia"/>
          <w:lang w:val="en-US" w:eastAsia="zh-CN"/>
        </w:rPr>
        <w:t>22</w:t>
      </w:r>
      <w:r>
        <w:rPr>
          <w:rFonts w:hint="eastAsia"/>
        </w:rPr>
        <w:t xml:space="preserve"> meeting</w:t>
      </w:r>
      <w:bookmarkEnd w:id="0"/>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rFonts w:hint="eastAsia"/>
          <w:lang w:val="en-US" w:eastAsia="zh-CN"/>
        </w:rPr>
        <w:t>Q</w:t>
      </w:r>
      <w:r>
        <w:rPr>
          <w:rFonts w:hint="eastAsia"/>
          <w:lang w:val="en-GB" w:eastAsia="zh-CN"/>
        </w:rPr>
        <w:t>oE measurements</w:t>
      </w:r>
      <w:r>
        <w:rPr>
          <w:rFonts w:hint="eastAsia"/>
        </w:rPr>
        <w:t xml:space="preserve"> </w:t>
      </w:r>
      <w:r>
        <w:rPr>
          <w:rFonts w:hint="eastAsia" w:eastAsia="宋体"/>
          <w:lang w:val="en-US" w:eastAsia="zh-CN"/>
        </w:rPr>
        <w:t xml:space="preserve">forNR-DC </w:t>
      </w:r>
      <w:r>
        <w:rPr>
          <w:rFonts w:hint="eastAsia"/>
          <w:lang w:val="en-GB"/>
        </w:rPr>
        <w:t>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9" w:type="dxa"/>
          </w:tcPr>
          <w:p>
            <w:pPr>
              <w:numPr>
                <w:ilvl w:val="0"/>
                <w:numId w:val="7"/>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1: The network can use explicit indication per QoE config to indicate which SRB is used for the QoE reporting. Details can be discussed in Stage-3.</w:t>
            </w:r>
          </w:p>
          <w:p>
            <w:pPr>
              <w:numPr>
                <w:ilvl w:val="0"/>
                <w:numId w:val="8"/>
              </w:numPr>
              <w:tabs>
                <w:tab w:val="left" w:pos="0"/>
                <w:tab w:val="left" w:pos="567"/>
                <w:tab w:val="left" w:pos="1619"/>
              </w:tabs>
              <w:spacing w:after="40" w:line="276" w:lineRule="auto"/>
              <w:ind w:left="840" w:leftChars="0" w:hanging="420" w:firstLineChars="0"/>
              <w:rPr>
                <w:rFonts w:hint="eastAsia"/>
                <w:i/>
                <w:lang w:val="en-GB" w:eastAsia="zh-CN"/>
              </w:rPr>
            </w:pPr>
            <w:r>
              <w:rPr>
                <w:rFonts w:hint="eastAsia"/>
                <w:i/>
                <w:lang w:val="en-GB" w:eastAsia="zh-CN"/>
              </w:rPr>
              <w:t xml:space="preserve">FFS how to handle the QoE report transmission if there is only one SRB and the QoE report is not (explicitly) configured for that SRB (to be checked if this is possible according to latest RAN3 agreements) </w:t>
            </w:r>
          </w:p>
          <w:p>
            <w:pPr>
              <w:numPr>
                <w:ilvl w:val="0"/>
                <w:numId w:val="8"/>
              </w:numPr>
              <w:tabs>
                <w:tab w:val="left" w:pos="0"/>
                <w:tab w:val="left" w:pos="567"/>
                <w:tab w:val="left" w:pos="1619"/>
              </w:tabs>
              <w:spacing w:after="40" w:line="276" w:lineRule="auto"/>
              <w:ind w:left="840" w:leftChars="0" w:hanging="420" w:firstLineChars="0"/>
              <w:rPr>
                <w:rFonts w:hint="eastAsia"/>
                <w:i/>
                <w:lang w:val="en-GB" w:eastAsia="zh-CN"/>
              </w:rPr>
            </w:pPr>
            <w:r>
              <w:rPr>
                <w:rFonts w:hint="eastAsia"/>
                <w:i/>
                <w:lang w:val="en-GB" w:eastAsia="zh-CN"/>
              </w:rPr>
              <w:t>FFS how the above case works if SCG is deactivated or released.</w:t>
            </w:r>
          </w:p>
          <w:p>
            <w:pPr>
              <w:numPr>
                <w:ilvl w:val="0"/>
                <w:numId w:val="8"/>
              </w:numPr>
              <w:tabs>
                <w:tab w:val="left" w:pos="0"/>
                <w:tab w:val="left" w:pos="567"/>
                <w:tab w:val="left" w:pos="1619"/>
              </w:tabs>
              <w:spacing w:after="40" w:line="276" w:lineRule="auto"/>
              <w:ind w:left="840" w:leftChars="0" w:hanging="420" w:firstLineChars="0"/>
              <w:rPr>
                <w:rFonts w:hint="eastAsia"/>
                <w:i/>
                <w:lang w:val="en-GB" w:eastAsia="zh-CN"/>
              </w:rPr>
            </w:pPr>
            <w:r>
              <w:rPr>
                <w:rFonts w:hint="eastAsia"/>
                <w:i/>
                <w:lang w:val="en-GB" w:eastAsia="zh-CN"/>
              </w:rPr>
              <w:t>RAN2 will follow RAN3 agreement on QoE config RRC IDs.</w:t>
            </w:r>
          </w:p>
          <w:p>
            <w:pPr>
              <w:numPr>
                <w:ilvl w:val="0"/>
                <w:numId w:val="7"/>
              </w:numPr>
              <w:tabs>
                <w:tab w:val="left" w:pos="0"/>
                <w:tab w:val="left" w:pos="1619"/>
              </w:tabs>
              <w:spacing w:after="40" w:line="276" w:lineRule="auto"/>
              <w:rPr>
                <w:lang w:val="en-GB" w:eastAsia="zh-CN"/>
              </w:rPr>
            </w:pPr>
            <w:r>
              <w:rPr>
                <w:rFonts w:hint="eastAsia" w:eastAsia="Times New Roman"/>
                <w:bCs/>
                <w:i/>
                <w:iCs/>
                <w:lang w:val="en-GB" w:eastAsia="zh-CN"/>
              </w:rPr>
              <w:t xml:space="preserve">RAN2 will follow RAN3 agreements (for NR-DC when SRB5 is not configured) on forwarding the received encapsulated QoE reports to the correct recipient (i.e. MCE or SN) </w:t>
            </w:r>
          </w:p>
        </w:tc>
      </w:tr>
    </w:tbl>
    <w:p>
      <w:pPr>
        <w:spacing w:before="120" w:beforeLines="50" w:after="100"/>
        <w:jc w:val="both"/>
        <w:textAlignment w:val="center"/>
      </w:pPr>
      <w:r>
        <w:t xml:space="preserve">In this contribution, we will firstly discuss </w:t>
      </w:r>
      <w:r>
        <w:rPr>
          <w:rFonts w:hint="eastAsia" w:eastAsia="宋体"/>
          <w:lang w:val="en-US" w:eastAsia="zh-CN"/>
        </w:rPr>
        <w:t xml:space="preserve">solutions to </w:t>
      </w:r>
      <w:r>
        <w:rPr>
          <w:rFonts w:eastAsia="宋体"/>
        </w:rPr>
        <w:t xml:space="preserve">the </w:t>
      </w:r>
      <w:r>
        <w:rPr>
          <w:rFonts w:hint="eastAsia" w:eastAsia="宋体"/>
          <w:lang w:val="en-US" w:eastAsia="zh-CN"/>
        </w:rPr>
        <w:t xml:space="preserve">remaining open </w:t>
      </w:r>
      <w:r>
        <w:rPr>
          <w:rFonts w:eastAsia="宋体"/>
        </w:rPr>
        <w:t>issues</w:t>
      </w:r>
      <w:r>
        <w:t xml:space="preserve"> </w:t>
      </w:r>
      <w:r>
        <w:rPr>
          <w:rFonts w:hint="eastAsia" w:eastAsia="宋体"/>
          <w:lang w:val="en-US" w:eastAsia="zh-CN"/>
        </w:rPr>
        <w:t>on QoE for NR-DC, which includes</w:t>
      </w:r>
      <w:r>
        <w:t xml:space="preserve"> </w:t>
      </w:r>
      <w:r>
        <w:rPr>
          <w:rFonts w:hint="eastAsia" w:eastAsia="宋体"/>
          <w:lang w:val="en-US" w:eastAsia="zh-CN"/>
        </w:rPr>
        <w:t xml:space="preserve">how to handle QoE reports, RRC configuration for QoE reporting and so on. </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eastAsia="宋体" w:cs="Arial"/>
          <w:b/>
          <w:bCs/>
          <w:color w:val="auto"/>
          <w:lang w:eastAsia="zh-CN"/>
        </w:rPr>
      </w:pPr>
      <w:bookmarkStart w:id="1" w:name="OLE_LINK2"/>
      <w:r>
        <w:rPr>
          <w:rStyle w:val="25"/>
          <w:rFonts w:hint="eastAsia" w:ascii="Arial" w:hAnsi="Arial" w:eastAsia="宋体" w:cs="Arial"/>
          <w:b/>
          <w:bCs/>
          <w:color w:val="auto"/>
          <w:lang w:eastAsia="zh-CN"/>
        </w:rPr>
        <w:t>QoE configuration over MN/SN</w:t>
      </w:r>
    </w:p>
    <w:p>
      <w:pPr>
        <w:spacing w:after="120" w:afterLines="50"/>
        <w:jc w:val="both"/>
        <w:rPr>
          <w:rFonts w:hint="eastAsia" w:cs="Times New Roman"/>
          <w:bCs/>
          <w:lang w:val="en-US" w:eastAsia="zh-CN"/>
        </w:rPr>
      </w:pPr>
      <w:r>
        <w:rPr>
          <w:rFonts w:hint="eastAsia" w:cs="Times New Roman"/>
          <w:bCs/>
          <w:lang w:val="en-US" w:eastAsia="zh-CN"/>
        </w:rPr>
        <w:t>For</w:t>
      </w:r>
      <w:r>
        <w:rPr>
          <w:rFonts w:hint="eastAsia" w:ascii="Times New Roman" w:hAnsi="Times New Roman" w:cs="Times New Roman"/>
          <w:bCs/>
          <w:lang w:val="en-US" w:eastAsia="zh-CN"/>
        </w:rPr>
        <w:t xml:space="preserve"> RVQoE, RAN3 has agreed that </w:t>
      </w:r>
      <w:r>
        <w:rPr>
          <w:rFonts w:hint="eastAsia" w:cs="Times New Roman"/>
          <w:bCs/>
          <w:lang w:val="en-US" w:eastAsia="zh-CN"/>
        </w:rPr>
        <w:t>t</w:t>
      </w:r>
      <w:r>
        <w:rPr>
          <w:rFonts w:hint="eastAsia" w:ascii="Times New Roman" w:hAnsi="Times New Roman" w:cs="Times New Roman"/>
          <w:bCs/>
          <w:lang w:val="en-US" w:eastAsia="zh-CN"/>
        </w:rPr>
        <w:t>he SN can send an RVQ</w:t>
      </w:r>
      <w:r>
        <w:rPr>
          <w:rFonts w:hint="eastAsia" w:cs="Times New Roman"/>
          <w:bCs/>
          <w:lang w:val="en-US" w:eastAsia="zh-CN"/>
        </w:rPr>
        <w:t>o</w:t>
      </w:r>
      <w:r>
        <w:rPr>
          <w:rFonts w:hint="eastAsia" w:ascii="Times New Roman" w:hAnsi="Times New Roman" w:cs="Times New Roman"/>
          <w:bCs/>
          <w:lang w:val="en-US" w:eastAsia="zh-CN"/>
        </w:rPr>
        <w:t>E configuration directly to UE via SRB3 or in a transparent container to the MN</w:t>
      </w:r>
      <w:r>
        <w:rPr>
          <w:rFonts w:hint="eastAsia" w:cs="Times New Roman"/>
          <w:bCs/>
          <w:lang w:val="en-US" w:eastAsia="zh-CN"/>
        </w:rPr>
        <w:t xml:space="preserve">, then MN can forward the received configuration to UE the </w:t>
      </w:r>
      <w:r>
        <w:rPr>
          <w:rFonts w:hint="eastAsia" w:ascii="Times New Roman" w:hAnsi="Times New Roman" w:cs="Times New Roman"/>
          <w:bCs/>
          <w:lang w:val="en-US" w:eastAsia="zh-CN"/>
        </w:rPr>
        <w:t xml:space="preserve">last meeting. </w:t>
      </w:r>
    </w:p>
    <w:p>
      <w:pPr>
        <w:spacing w:after="120" w:afterLines="50"/>
        <w:jc w:val="both"/>
        <w:rPr>
          <w:rFonts w:hint="eastAsia" w:cs="Times New Roman"/>
          <w:b/>
          <w:bCs w:val="0"/>
          <w:lang w:val="en-US" w:eastAsia="zh-CN"/>
        </w:rPr>
      </w:pPr>
      <w:r>
        <w:rPr>
          <w:rFonts w:hint="eastAsia" w:cs="Times New Roman"/>
          <w:b/>
          <w:bCs w:val="0"/>
          <w:lang w:val="en-US" w:eastAsia="zh-CN"/>
        </w:rPr>
        <w:t xml:space="preserve">Observation 1: RAN3 has agreed that SN can send an RVQoE </w:t>
      </w:r>
      <w:r>
        <w:rPr>
          <w:rFonts w:hint="eastAsia" w:ascii="Times New Roman" w:hAnsi="Times New Roman" w:cs="Times New Roman"/>
          <w:b/>
          <w:bCs w:val="0"/>
          <w:lang w:val="en-US" w:eastAsia="zh-CN"/>
        </w:rPr>
        <w:t xml:space="preserve">configuration directly to UE via SRB3 or in a transparent container </w:t>
      </w:r>
      <w:r>
        <w:rPr>
          <w:rFonts w:hint="eastAsia" w:cs="Times New Roman"/>
          <w:b/>
          <w:bCs w:val="0"/>
          <w:lang w:val="en-US" w:eastAsia="zh-CN"/>
        </w:rPr>
        <w:t>forwarded by</w:t>
      </w:r>
      <w:r>
        <w:rPr>
          <w:rFonts w:hint="eastAsia" w:ascii="Times New Roman" w:hAnsi="Times New Roman" w:cs="Times New Roman"/>
          <w:b/>
          <w:bCs w:val="0"/>
          <w:lang w:val="en-US" w:eastAsia="zh-CN"/>
        </w:rPr>
        <w:t xml:space="preserve"> MN</w:t>
      </w:r>
      <w:r>
        <w:rPr>
          <w:rFonts w:hint="eastAsia" w:cs="Times New Roman"/>
          <w:b/>
          <w:bCs w:val="0"/>
          <w:lang w:val="en-US" w:eastAsia="zh-CN"/>
        </w:rPr>
        <w:t xml:space="preserve"> via SRB1.</w:t>
      </w:r>
    </w:p>
    <w:p>
      <w:pPr>
        <w:spacing w:after="120" w:afterLines="50"/>
        <w:jc w:val="both"/>
        <w:rPr>
          <w:rFonts w:hint="default" w:cs="Times New Roman"/>
          <w:bCs/>
          <w:lang w:val="en-US" w:eastAsia="zh-CN"/>
        </w:rPr>
      </w:pPr>
      <w:r>
        <w:rPr>
          <w:rFonts w:hint="eastAsia" w:cs="Times New Roman"/>
          <w:bCs/>
          <w:lang w:val="en-US" w:eastAsia="zh-CN"/>
        </w:rPr>
        <w:t xml:space="preserve">This behavior can already be supported by existing mechanism. That is, the RVQoE configuration can be provided as part of </w:t>
      </w:r>
      <w:r>
        <w:rPr>
          <w:rFonts w:hint="eastAsia" w:cs="Times New Roman"/>
          <w:bCs/>
          <w:i/>
          <w:iCs/>
          <w:lang w:val="en-US" w:eastAsia="zh-CN"/>
        </w:rPr>
        <w:t>RRCReconfiguration</w:t>
      </w:r>
      <w:r>
        <w:rPr>
          <w:rFonts w:hint="eastAsia" w:cs="Times New Roman"/>
          <w:bCs/>
          <w:lang w:val="en-US" w:eastAsia="zh-CN"/>
        </w:rPr>
        <w:t xml:space="preserve"> message as generated by SN gNB. Then MN can include the received SN </w:t>
      </w:r>
      <w:r>
        <w:rPr>
          <w:rFonts w:hint="eastAsia" w:cs="Times New Roman"/>
          <w:bCs/>
          <w:i/>
          <w:iCs/>
          <w:lang w:val="en-US" w:eastAsia="zh-CN"/>
        </w:rPr>
        <w:t>RRCReconfiguration</w:t>
      </w:r>
      <w:r>
        <w:rPr>
          <w:rFonts w:hint="eastAsia" w:cs="Times New Roman"/>
          <w:bCs/>
          <w:lang w:val="en-US" w:eastAsia="zh-CN"/>
        </w:rPr>
        <w:t xml:space="preserve"> message container in </w:t>
      </w:r>
      <w:r>
        <w:rPr>
          <w:rFonts w:hint="eastAsia" w:cs="Times New Roman"/>
          <w:bCs/>
          <w:i/>
          <w:iCs/>
          <w:lang w:val="en-US" w:eastAsia="zh-CN"/>
        </w:rPr>
        <w:t>mrdc-SecondaryCellGroup</w:t>
      </w:r>
      <w:r>
        <w:rPr>
          <w:rFonts w:hint="eastAsia" w:cs="Times New Roman"/>
          <w:bCs/>
          <w:lang w:val="en-US" w:eastAsia="zh-CN"/>
        </w:rPr>
        <w:t xml:space="preserve"> of MN </w:t>
      </w:r>
      <w:r>
        <w:rPr>
          <w:rFonts w:hint="eastAsia" w:cs="Times New Roman"/>
          <w:bCs/>
          <w:i/>
          <w:iCs/>
          <w:lang w:val="en-US" w:eastAsia="zh-CN"/>
        </w:rPr>
        <w:t>RRCReconfiguration</w:t>
      </w:r>
      <w:r>
        <w:rPr>
          <w:rFonts w:hint="eastAsia" w:cs="Times New Roman"/>
          <w:bCs/>
          <w:lang w:val="en-US" w:eastAsia="zh-CN"/>
        </w:rPr>
        <w:t xml:space="preserve"> message, and forward it to UE through SRB1. Therefore it is proposed to agree on below proposal to align with RAN3</w:t>
      </w:r>
      <w:r>
        <w:rPr>
          <w:rFonts w:hint="default" w:cs="Times New Roman"/>
          <w:bCs/>
          <w:lang w:val="en-US" w:eastAsia="zh-CN"/>
        </w:rPr>
        <w:t>’</w:t>
      </w:r>
      <w:r>
        <w:rPr>
          <w:rFonts w:hint="eastAsia" w:cs="Times New Roman"/>
          <w:bCs/>
          <w:lang w:val="en-US" w:eastAsia="zh-CN"/>
        </w:rPr>
        <w:t xml:space="preserve">s agreements. </w:t>
      </w:r>
    </w:p>
    <w:p>
      <w:pPr>
        <w:spacing w:after="120" w:afterLines="50"/>
        <w:jc w:val="both"/>
      </w:pPr>
      <w:r>
        <w:rPr>
          <w:rFonts w:hint="eastAsia"/>
          <w:b/>
          <w:bCs/>
          <w:lang w:eastAsia="zh-CN"/>
        </w:rPr>
        <w:t xml:space="preserve">Proposal </w:t>
      </w:r>
      <w:r>
        <w:rPr>
          <w:rFonts w:hint="eastAsia"/>
          <w:b/>
          <w:bCs/>
          <w:lang w:val="en-US" w:eastAsia="zh-CN"/>
        </w:rPr>
        <w:t>1</w:t>
      </w:r>
      <w:r>
        <w:rPr>
          <w:rFonts w:hint="eastAsia"/>
          <w:b/>
          <w:bCs/>
          <w:lang w:eastAsia="zh-CN"/>
        </w:rPr>
        <w:t>: For</w:t>
      </w:r>
      <w:r>
        <w:rPr>
          <w:rFonts w:hint="eastAsia"/>
          <w:b/>
          <w:bCs/>
          <w:lang w:val="en-US" w:eastAsia="zh-CN"/>
        </w:rPr>
        <w:t xml:space="preserve"> RVQoE configuration</w:t>
      </w:r>
      <w:r>
        <w:rPr>
          <w:rFonts w:hint="eastAsia"/>
          <w:b/>
          <w:bCs/>
          <w:lang w:eastAsia="zh-CN"/>
        </w:rPr>
        <w:t xml:space="preserve">, </w:t>
      </w:r>
      <w:r>
        <w:rPr>
          <w:rFonts w:hint="eastAsia"/>
          <w:b/>
          <w:bCs/>
          <w:lang w:val="en-US" w:eastAsia="zh-CN"/>
        </w:rPr>
        <w:t xml:space="preserve">SN can </w:t>
      </w:r>
      <w:r>
        <w:rPr>
          <w:rFonts w:hint="eastAsia"/>
          <w:b/>
          <w:bCs/>
          <w:lang w:eastAsia="zh-CN"/>
        </w:rPr>
        <w:t xml:space="preserve">configure the QoE configuration </w:t>
      </w:r>
      <w:r>
        <w:rPr>
          <w:rFonts w:hint="eastAsia"/>
          <w:b/>
          <w:bCs/>
          <w:lang w:val="en-US" w:eastAsia="zh-CN"/>
        </w:rPr>
        <w:t xml:space="preserve">directly </w:t>
      </w:r>
      <w:r>
        <w:rPr>
          <w:rFonts w:hint="eastAsia"/>
          <w:b/>
          <w:bCs/>
          <w:lang w:eastAsia="zh-CN"/>
        </w:rPr>
        <w:t xml:space="preserve">to UE </w:t>
      </w:r>
      <w:r>
        <w:rPr>
          <w:b/>
          <w:bCs/>
          <w:lang w:eastAsia="zh-CN"/>
        </w:rPr>
        <w:t>through</w:t>
      </w:r>
      <w:r>
        <w:rPr>
          <w:rFonts w:hint="eastAsia"/>
          <w:b/>
          <w:bCs/>
          <w:lang w:val="en-US" w:eastAsia="zh-CN"/>
        </w:rPr>
        <w:t xml:space="preserve"> SRB3, or forwarded by MN via SRB1 as part of SN </w:t>
      </w:r>
      <w:r>
        <w:rPr>
          <w:rFonts w:hint="eastAsia"/>
          <w:b/>
          <w:bCs/>
          <w:i/>
          <w:iCs/>
          <w:lang w:val="en-US" w:eastAsia="zh-CN"/>
        </w:rPr>
        <w:t>RRCReconfiguration</w:t>
      </w:r>
      <w:r>
        <w:rPr>
          <w:rFonts w:hint="eastAsia"/>
          <w:b/>
          <w:bCs/>
          <w:lang w:val="en-US" w:eastAsia="zh-CN"/>
        </w:rPr>
        <w:t xml:space="preserve"> container (e.g., in </w:t>
      </w:r>
      <w:r>
        <w:rPr>
          <w:rFonts w:hint="eastAsia"/>
          <w:b/>
          <w:bCs/>
          <w:i/>
          <w:iCs/>
          <w:lang w:val="en-US" w:eastAsia="zh-CN"/>
        </w:rPr>
        <w:t>mrdc-SecondaryCellGroup)</w:t>
      </w:r>
      <w:r>
        <w:rPr>
          <w:rFonts w:hint="eastAsia"/>
          <w:b/>
          <w:bCs/>
          <w:lang w:val="en-US" w:eastAsia="zh-CN"/>
        </w:rPr>
        <w:t xml:space="preserve"> included in MN </w:t>
      </w:r>
      <w:r>
        <w:rPr>
          <w:rFonts w:hint="eastAsia"/>
          <w:b/>
          <w:bCs/>
          <w:i/>
          <w:iCs/>
          <w:lang w:val="en-US" w:eastAsia="zh-CN"/>
        </w:rPr>
        <w:t>RRCReconfiguration</w:t>
      </w:r>
      <w:r>
        <w:rPr>
          <w:rFonts w:hint="eastAsia"/>
          <w:b/>
          <w:bCs/>
          <w:lang w:val="en-US" w:eastAsia="zh-CN"/>
        </w:rPr>
        <w:t xml:space="preserve"> message. </w:t>
      </w:r>
    </w:p>
    <w:p>
      <w:pPr>
        <w:pStyle w:val="3"/>
        <w:spacing w:line="360" w:lineRule="auto"/>
        <w:rPr>
          <w:rStyle w:val="25"/>
          <w:rFonts w:ascii="Arial" w:hAnsi="Arial" w:eastAsia="宋体" w:cs="Arial"/>
          <w:b/>
          <w:bCs/>
          <w:color w:val="auto"/>
          <w:lang w:eastAsia="zh-CN"/>
        </w:rPr>
      </w:pPr>
      <w:r>
        <w:rPr>
          <w:rStyle w:val="25"/>
          <w:rFonts w:hint="eastAsia" w:ascii="Arial" w:hAnsi="Arial" w:eastAsia="宋体" w:cs="Arial"/>
          <w:b/>
          <w:bCs/>
          <w:color w:val="auto"/>
          <w:lang w:eastAsia="zh-CN"/>
        </w:rPr>
        <w:t>QoE measurement reporting over MN/SN</w:t>
      </w:r>
    </w:p>
    <w:p>
      <w:pPr>
        <w:jc w:val="both"/>
        <w:rPr>
          <w:rFonts w:hint="eastAsia" w:cs="Times New Roman"/>
          <w:bCs/>
          <w:lang w:val="en-US" w:eastAsia="zh-CN"/>
        </w:rPr>
      </w:pPr>
      <w:r>
        <w:rPr>
          <w:rFonts w:hint="eastAsia" w:cs="Times New Roman"/>
          <w:bCs/>
          <w:lang w:val="en-US" w:eastAsia="zh-CN"/>
        </w:rPr>
        <w:t xml:space="preserve">Last meeting RAN2 discussed about the case when a QoE configuration is originally configured with one SRB type (e.g., SRB5) and the SRB is released or suspended due to failure in the node or other causes. And in such case if there is available SRB over a different node that can be used for QoE reporting, whether UE can autonomous fallback to another SRB to report the QoE measurements. </w:t>
      </w:r>
    </w:p>
    <w:p>
      <w:pPr>
        <w:jc w:val="both"/>
        <w:rPr>
          <w:rFonts w:hint="default" w:cs="Times New Roman"/>
          <w:b/>
          <w:bCs w:val="0"/>
          <w:lang w:val="en-US" w:eastAsia="zh-CN"/>
        </w:rPr>
      </w:pPr>
      <w:r>
        <w:rPr>
          <w:rFonts w:hint="eastAsia" w:cs="Times New Roman"/>
          <w:b/>
          <w:bCs w:val="0"/>
          <w:lang w:val="en-US" w:eastAsia="zh-CN"/>
        </w:rPr>
        <w:t xml:space="preserve">Observation 2: RAN2 needs to further discuss whether a QoE originally configured with an SRB type (e.g., SRB5) can autonomous switch to another SRB type (e.g., SRB4) when the configured SRB is released/suspended while there are available SRB type for QoE reports. </w:t>
      </w:r>
    </w:p>
    <w:p>
      <w:pPr>
        <w:jc w:val="both"/>
        <w:rPr>
          <w:rFonts w:hint="eastAsia" w:cs="Times New Roman"/>
          <w:bCs/>
          <w:lang w:val="en-US" w:eastAsia="zh-CN"/>
        </w:rPr>
      </w:pPr>
      <w:r>
        <w:rPr>
          <w:rFonts w:hint="eastAsia" w:cs="Times New Roman"/>
          <w:bCs/>
          <w:lang w:val="en-US" w:eastAsia="zh-CN"/>
        </w:rPr>
        <w:t>For companies supporting autonomous fallback the motivation could be more efficient QoE report, since there are no additional latency caused due to reconfiguration. While for companies not supporting autonomous fallback, the reasoning could be that the receiving node may not have the required information for forwarding the QoE reports or the configuring doesn</w:t>
      </w:r>
      <w:r>
        <w:rPr>
          <w:rFonts w:hint="default" w:cs="Times New Roman"/>
          <w:bCs/>
          <w:lang w:val="en-US" w:eastAsia="zh-CN"/>
        </w:rPr>
        <w:t>’</w:t>
      </w:r>
      <w:r>
        <w:rPr>
          <w:rFonts w:hint="eastAsia" w:cs="Times New Roman"/>
          <w:bCs/>
          <w:lang w:val="en-US" w:eastAsia="zh-CN"/>
        </w:rPr>
        <w:t xml:space="preserve">t want the other node to read the RVQoE results. </w:t>
      </w:r>
    </w:p>
    <w:p>
      <w:pPr>
        <w:jc w:val="both"/>
        <w:rPr>
          <w:rFonts w:hint="eastAsia" w:cs="Times New Roman"/>
          <w:b/>
          <w:bCs w:val="0"/>
          <w:lang w:val="en-US" w:eastAsia="zh-CN"/>
        </w:rPr>
      </w:pPr>
      <w:r>
        <w:rPr>
          <w:rFonts w:hint="eastAsia" w:cs="Times New Roman"/>
          <w:b/>
          <w:bCs w:val="0"/>
          <w:lang w:val="en-US" w:eastAsia="zh-CN"/>
        </w:rPr>
        <w:t>Observation 3: Autonomous fallback to other SRB for reporting is efficient but may risk of the exposing RVQoE to other nodes or the receiving node may not knows the necessary information for forwarding the QoE report.</w:t>
      </w:r>
    </w:p>
    <w:p>
      <w:pPr>
        <w:jc w:val="both"/>
        <w:rPr>
          <w:rFonts w:hint="eastAsia" w:cs="Times New Roman"/>
          <w:b w:val="0"/>
          <w:bCs/>
          <w:lang w:val="en-US" w:eastAsia="zh-CN"/>
        </w:rPr>
      </w:pPr>
      <w:r>
        <w:rPr>
          <w:rFonts w:hint="eastAsia" w:cs="Times New Roman"/>
          <w:b w:val="0"/>
          <w:bCs/>
          <w:lang w:val="en-US" w:eastAsia="zh-CN"/>
        </w:rPr>
        <w:t>Whether such behavior is allowed is also relevant to RAN3’s decision on report leg switch and how MN/SN forwards the received reports, e.g.,  to MCE.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5" w:type="dxa"/>
          </w:tcPr>
          <w:p>
            <w:pPr>
              <w:jc w:val="left"/>
              <w:rPr>
                <w:rFonts w:hint="default" w:ascii="Arial" w:hAnsi="Arial" w:cs="Arial"/>
                <w:b/>
                <w:bCs w:val="0"/>
                <w:szCs w:val="20"/>
                <w:highlight w:val="green"/>
                <w:vertAlign w:val="baseline"/>
                <w:lang w:val="en-US" w:eastAsia="zh-CN"/>
              </w:rPr>
            </w:pPr>
            <w:r>
              <w:rPr>
                <w:rFonts w:hint="default" w:ascii="Arial" w:hAnsi="Arial" w:cs="Arial"/>
                <w:b/>
                <w:bCs w:val="0"/>
                <w:szCs w:val="20"/>
                <w:highlight w:val="green"/>
                <w:vertAlign w:val="baseline"/>
                <w:lang w:val="en-US" w:eastAsia="zh-CN"/>
              </w:rPr>
              <w:t>RAN3#117bis-e</w:t>
            </w:r>
          </w:p>
          <w:p>
            <w:pPr>
              <w:rPr>
                <w:rFonts w:ascii="Arial" w:hAnsi="Arial" w:cs="Arial"/>
                <w:szCs w:val="20"/>
                <w:highlight w:val="none"/>
                <w:lang w:eastAsia="zh-CN"/>
              </w:rPr>
            </w:pPr>
            <w:r>
              <w:rPr>
                <w:rFonts w:hint="default" w:ascii="Arial" w:hAnsi="Arial" w:cs="Arial"/>
                <w:szCs w:val="20"/>
                <w:highlight w:val="none"/>
                <w:lang w:eastAsia="zh-CN"/>
              </w:rPr>
              <w:t>-</w:t>
            </w:r>
            <w:r>
              <w:rPr>
                <w:rFonts w:ascii="Arial" w:hAnsi="Arial" w:cs="Arial"/>
                <w:szCs w:val="20"/>
                <w:highlight w:val="none"/>
                <w:lang w:eastAsia="zh-CN"/>
              </w:rPr>
              <w:t xml:space="preserve"> </w:t>
            </w:r>
            <w:r>
              <w:rPr>
                <w:rFonts w:hint="default" w:ascii="Arial" w:hAnsi="Arial" w:cs="Arial"/>
                <w:szCs w:val="20"/>
                <w:highlight w:val="none"/>
                <w:lang w:eastAsia="zh-CN"/>
              </w:rPr>
              <w:t>Turn into an agreement the WA stating that, if QoE reports are received by the SN, the SN can forward the QoE reports to MCE directly.</w:t>
            </w:r>
          </w:p>
          <w:p>
            <w:pPr>
              <w:jc w:val="left"/>
              <w:rPr>
                <w:rFonts w:hint="default" w:ascii="Arial" w:hAnsi="Arial" w:cs="Arial"/>
                <w:bCs/>
                <w:szCs w:val="20"/>
                <w:highlight w:val="none"/>
                <w:vertAlign w:val="baseline"/>
                <w:lang w:val="en-US" w:eastAsia="zh-CN"/>
              </w:rPr>
            </w:pPr>
            <w:r>
              <w:rPr>
                <w:rFonts w:hint="default" w:ascii="Arial" w:hAnsi="Arial" w:cs="Arial"/>
                <w:szCs w:val="20"/>
                <w:highlight w:val="none"/>
                <w:lang w:eastAsia="zh-CN"/>
              </w:rPr>
              <w:t>-</w:t>
            </w:r>
            <w:r>
              <w:rPr>
                <w:rFonts w:ascii="Arial" w:hAnsi="Arial" w:cs="Arial"/>
                <w:szCs w:val="20"/>
                <w:highlight w:val="none"/>
                <w:lang w:eastAsia="zh-CN"/>
              </w:rPr>
              <w:t xml:space="preserve"> </w:t>
            </w:r>
            <w:r>
              <w:rPr>
                <w:rFonts w:hint="default" w:ascii="Arial" w:hAnsi="Arial" w:cs="Arial"/>
                <w:szCs w:val="20"/>
                <w:highlight w:val="none"/>
                <w:lang w:val="en-US" w:eastAsia="zh-CN"/>
              </w:rPr>
              <w:t>If a node has configured the UE with QoE measurements, and the other node is receiving the QoE reports from the UE and forwarding them directly to the MCE, then:</w:t>
            </w:r>
            <w:r>
              <w:rPr>
                <w:rFonts w:ascii="Arial" w:hAnsi="Arial" w:cs="Arial"/>
                <w:szCs w:val="20"/>
                <w:highlight w:val="none"/>
                <w:lang w:val="en-US" w:eastAsia="zh-CN"/>
              </w:rPr>
              <w:t xml:space="preserve"> </w:t>
            </w:r>
            <w:r>
              <w:rPr>
                <w:rFonts w:hint="default" w:ascii="Arial" w:hAnsi="Arial" w:cs="Arial"/>
                <w:szCs w:val="20"/>
                <w:highlight w:val="none"/>
                <w:lang w:val="en-US" w:eastAsia="zh-CN"/>
              </w:rPr>
              <w:t>The node that has configured the UE with QoE measurements should indicate the QoE reference to the node that receives the reports and forwards them directly to MCE.</w:t>
            </w:r>
          </w:p>
          <w:p>
            <w:pPr>
              <w:jc w:val="left"/>
              <w:rPr>
                <w:rFonts w:hint="default" w:ascii="Arial" w:hAnsi="Arial" w:cs="Arial"/>
                <w:b/>
                <w:bCs w:val="0"/>
                <w:szCs w:val="20"/>
                <w:highlight w:val="green"/>
                <w:vertAlign w:val="baseline"/>
                <w:lang w:val="en-US" w:eastAsia="zh-CN"/>
              </w:rPr>
            </w:pPr>
            <w:r>
              <w:rPr>
                <w:rFonts w:hint="default" w:ascii="Arial" w:hAnsi="Arial" w:cs="Arial"/>
                <w:b/>
                <w:bCs w:val="0"/>
                <w:szCs w:val="20"/>
                <w:highlight w:val="green"/>
                <w:vertAlign w:val="baseline"/>
                <w:lang w:val="en-US" w:eastAsia="zh-CN"/>
              </w:rPr>
              <w:t>RAN3#119bis-e</w:t>
            </w:r>
          </w:p>
          <w:p>
            <w:pPr>
              <w:jc w:val="left"/>
              <w:rPr>
                <w:rFonts w:hint="default" w:cs="Times New Roman"/>
                <w:bCs/>
                <w:vertAlign w:val="baseline"/>
                <w:lang w:val="en-US" w:eastAsia="zh-CN"/>
              </w:rPr>
            </w:pPr>
            <w:r>
              <w:rPr>
                <w:rFonts w:hint="default" w:ascii="Arial" w:hAnsi="Arial" w:cs="Arial"/>
                <w:szCs w:val="20"/>
                <w:highlight w:val="none"/>
                <w:lang w:eastAsia="zh-CN"/>
              </w:rPr>
              <w:t>-</w:t>
            </w:r>
            <w:r>
              <w:rPr>
                <w:rFonts w:ascii="Arial" w:hAnsi="Arial" w:cs="Arial"/>
                <w:szCs w:val="20"/>
                <w:highlight w:val="none"/>
                <w:lang w:eastAsia="zh-CN"/>
              </w:rPr>
              <w:t xml:space="preserve"> </w:t>
            </w:r>
            <w:r>
              <w:rPr>
                <w:rFonts w:ascii="Arial" w:hAnsi="Arial" w:cs="Arial"/>
                <w:szCs w:val="20"/>
                <w:highlight w:val="none"/>
                <w:lang w:eastAsia="en-US"/>
              </w:rPr>
              <w:t>The leg switch for QoE reporting needs to be approved by both nodes serving the UE.</w:t>
            </w:r>
          </w:p>
        </w:tc>
      </w:tr>
    </w:tbl>
    <w:p>
      <w:pPr>
        <w:jc w:val="both"/>
        <w:rPr>
          <w:rFonts w:hint="eastAsia" w:cs="Times New Roman"/>
          <w:bCs/>
          <w:lang w:val="en-US" w:eastAsia="zh-CN"/>
        </w:rPr>
      </w:pPr>
      <w:r>
        <w:rPr>
          <w:rFonts w:hint="eastAsia" w:cs="Times New Roman"/>
          <w:bCs/>
          <w:lang w:val="en-US" w:eastAsia="zh-CN"/>
        </w:rPr>
        <w:t>Based on RAN3</w:t>
      </w:r>
      <w:r>
        <w:rPr>
          <w:rFonts w:hint="default" w:cs="Times New Roman"/>
          <w:bCs/>
          <w:lang w:val="en-US" w:eastAsia="zh-CN"/>
        </w:rPr>
        <w:t>’</w:t>
      </w:r>
      <w:r>
        <w:rPr>
          <w:rFonts w:hint="eastAsia" w:cs="Times New Roman"/>
          <w:bCs/>
          <w:lang w:val="en-US" w:eastAsia="zh-CN"/>
        </w:rPr>
        <w:t xml:space="preserve">s agreements shown above it is obvious explicit NW configuration is needed to switch reporting leg regardless. </w:t>
      </w:r>
    </w:p>
    <w:p>
      <w:pPr>
        <w:jc w:val="both"/>
        <w:rPr>
          <w:rFonts w:hint="eastAsia" w:cs="Times New Roman"/>
          <w:bCs/>
          <w:lang w:val="en-US" w:eastAsia="zh-CN"/>
        </w:rPr>
      </w:pPr>
      <w:r>
        <w:rPr>
          <w:rFonts w:hint="eastAsia" w:cs="Times New Roman"/>
          <w:b/>
          <w:bCs w:val="0"/>
          <w:lang w:val="en-US" w:eastAsia="zh-CN"/>
        </w:rPr>
        <w:t>Observation 4: RAN3 has reached above agreements which indicates that the leg switch for QoE reporting needs to be approved by both nodes serving the UE.</w:t>
      </w:r>
      <w:r>
        <w:rPr>
          <w:rFonts w:hint="eastAsia" w:cs="Times New Roman"/>
          <w:bCs/>
          <w:lang w:val="en-US" w:eastAsia="zh-CN"/>
        </w:rPr>
        <w:t xml:space="preserve"> </w:t>
      </w:r>
    </w:p>
    <w:p>
      <w:pPr>
        <w:jc w:val="both"/>
        <w:rPr>
          <w:rFonts w:hint="default" w:cs="Times New Roman"/>
          <w:bCs/>
          <w:lang w:val="en-US" w:eastAsia="zh-CN"/>
        </w:rPr>
      </w:pPr>
      <w:r>
        <w:rPr>
          <w:rFonts w:hint="eastAsia" w:cs="Times New Roman"/>
          <w:bCs/>
          <w:lang w:val="en-US" w:eastAsia="zh-CN"/>
        </w:rPr>
        <w:t xml:space="preserve">However RAN3 also reached agreements for reporting which indicates that when a node (either MN/SN) receives the  QoE reports, the node can forward the reports to MCE directly as long as the receiving node receives the QoE reference of the QoE report from the configuring node. Which means if a QoE reference of QoE configuration is known to both MN/SN, then autonomous fallback to another SRB for reporting would be possible. </w:t>
      </w:r>
    </w:p>
    <w:p>
      <w:pPr>
        <w:jc w:val="both"/>
        <w:rPr>
          <w:rFonts w:hint="eastAsia" w:cs="Times New Roman"/>
          <w:b/>
          <w:bCs w:val="0"/>
          <w:lang w:val="en-US" w:eastAsia="zh-CN"/>
        </w:rPr>
      </w:pPr>
      <w:r>
        <w:rPr>
          <w:rFonts w:hint="eastAsia" w:cs="Times New Roman"/>
          <w:b/>
          <w:bCs w:val="0"/>
          <w:lang w:val="en-US" w:eastAsia="zh-CN"/>
        </w:rPr>
        <w:t xml:space="preserve">Observation 5: RAN3 has agreed that a node can forward the QoE reports to MCE directly if the QoE reference is known by the receiving node, which means if a QoE reference of QoE configuration is known to both MN/SN, then autonomous fallback to another SRB for reporting would be possible. </w:t>
      </w:r>
    </w:p>
    <w:p>
      <w:pPr>
        <w:jc w:val="both"/>
        <w:rPr>
          <w:rFonts w:hint="eastAsia" w:cs="Times New Roman"/>
          <w:bCs/>
          <w:lang w:val="en-US" w:eastAsia="zh-CN"/>
        </w:rPr>
      </w:pPr>
      <w:r>
        <w:rPr>
          <w:rFonts w:hint="eastAsia" w:cs="Times New Roman"/>
          <w:bCs/>
          <w:lang w:val="en-US" w:eastAsia="zh-CN"/>
        </w:rPr>
        <w:t xml:space="preserve">For RVQoE, since the RVQoE report is explicitly transmitted in RRC signalling, it's possible that the generating node doesn't want another node to view its RVQoE report, so it does not want UE to switch reporting leg automatically. But the downside of this approach is that RVQoE reports cannot even be uploaded. Another possibility is that RVQoE configuration is jointly decided by MN-SN with negotiation., in such case the generating node thinks that timely reporting is more conducive to optimization, and does not mind to allow UE to switch to another leg for reporting. </w:t>
      </w:r>
    </w:p>
    <w:p>
      <w:pPr>
        <w:jc w:val="both"/>
        <w:rPr>
          <w:rFonts w:hint="eastAsia" w:cs="Times New Roman"/>
          <w:b/>
          <w:bCs w:val="0"/>
          <w:lang w:val="en-US" w:eastAsia="zh-CN"/>
        </w:rPr>
      </w:pPr>
      <w:r>
        <w:rPr>
          <w:rFonts w:hint="eastAsia" w:cs="Times New Roman"/>
          <w:b/>
          <w:bCs w:val="0"/>
          <w:lang w:val="en-US" w:eastAsia="zh-CN"/>
        </w:rPr>
        <w:t xml:space="preserve">Observation 6: For RVQoE report, whether to allow autonomous switch report leg depends on different NW consideration on the time-requirement of RVQoE report and the willingness to share RVQoE report to other node. </w:t>
      </w:r>
    </w:p>
    <w:p>
      <w:pPr>
        <w:jc w:val="both"/>
        <w:rPr>
          <w:rFonts w:hint="default" w:cs="Times New Roman"/>
          <w:bCs/>
          <w:lang w:val="en-US" w:eastAsia="zh-CN"/>
        </w:rPr>
      </w:pPr>
      <w:r>
        <w:rPr>
          <w:rFonts w:hint="eastAsia" w:cs="Times New Roman"/>
          <w:bCs/>
          <w:lang w:val="en-US" w:eastAsia="zh-CN"/>
        </w:rPr>
        <w:t>Based on the above analysis, a compromised method that can balance between report efficiency and NW requirement on privacy as well as report forwarding, can be to introduce an indication per QoE configuration, where the indication is used to indicate whether autonomous switch is allowed when a QoE configuration is allowed to use another SRB for reporting when the originally configured SRB cannot be used. This indication also allows MN and SN to do negotiation before proving the information to UE, which guarantees that NW always takes full control on the report leg of a QoE configuration. It also complies with RAN3 agreed principle that the leg switch for QoE reporting needs to be approved by both nodes.</w:t>
      </w:r>
    </w:p>
    <w:p>
      <w:pPr>
        <w:jc w:val="both"/>
        <w:rPr>
          <w:rFonts w:hint="default" w:cs="Times New Roman"/>
          <w:b/>
          <w:bCs w:val="0"/>
          <w:lang w:val="en-US" w:eastAsia="zh-CN"/>
        </w:rPr>
      </w:pPr>
      <w:r>
        <w:rPr>
          <w:rFonts w:hint="eastAsia" w:cs="Times New Roman"/>
          <w:b/>
          <w:bCs w:val="0"/>
          <w:lang w:val="en-US" w:eastAsia="zh-CN"/>
        </w:rPr>
        <w:t>Observation 7: An indication to indicate whether autonomous switch report SRB type is allowed or not can be configured per QoE configuration, which balance between report efficiency and NW</w:t>
      </w:r>
      <w:r>
        <w:rPr>
          <w:rFonts w:hint="default" w:cs="Times New Roman"/>
          <w:b/>
          <w:bCs w:val="0"/>
          <w:lang w:val="en-US" w:eastAsia="zh-CN"/>
        </w:rPr>
        <w:t>’</w:t>
      </w:r>
      <w:r>
        <w:rPr>
          <w:rFonts w:hint="eastAsia" w:cs="Times New Roman"/>
          <w:b/>
          <w:bCs w:val="0"/>
          <w:lang w:val="en-US" w:eastAsia="zh-CN"/>
        </w:rPr>
        <w:t>s requirements on report forwarding  as well as privacy.</w:t>
      </w:r>
    </w:p>
    <w:p>
      <w:pPr>
        <w:jc w:val="both"/>
        <w:rPr>
          <w:rFonts w:hint="default" w:cs="Times New Roman"/>
          <w:bCs/>
          <w:lang w:val="en-US" w:eastAsia="zh-CN"/>
        </w:rPr>
      </w:pPr>
      <w:r>
        <w:rPr>
          <w:rFonts w:hint="eastAsia" w:cs="Times New Roman"/>
          <w:bCs/>
          <w:lang w:val="en-US" w:eastAsia="zh-CN"/>
        </w:rPr>
        <w:t>When a QoE Configuration does not receive such indication to allow automatic switching, UE suspends the current reporting when the report SRB is not longer available for reporting, and then waits for the reconfiguration.When a QoE configuration configured with indication to allow autonomous switch, UE switches to another SRB type for reporting if the originally configured SRB is released or suspended. Therefore, based on above analysis, below proposal is given:</w:t>
      </w:r>
    </w:p>
    <w:p>
      <w:pPr>
        <w:jc w:val="both"/>
        <w:rPr>
          <w:rFonts w:hint="eastAsia" w:cs="Times New Roman"/>
          <w:b/>
          <w:bCs w:val="0"/>
          <w:lang w:val="en-US" w:eastAsia="zh-CN"/>
        </w:rPr>
      </w:pPr>
      <w:r>
        <w:rPr>
          <w:b/>
          <w:bCs/>
        </w:rPr>
        <w:t>Proposa</w:t>
      </w:r>
      <w:r>
        <w:rPr>
          <w:rFonts w:hint="eastAsia"/>
          <w:b/>
          <w:bCs/>
          <w:lang w:eastAsia="zh-CN"/>
        </w:rPr>
        <w:t xml:space="preserve">l </w:t>
      </w:r>
      <w:r>
        <w:rPr>
          <w:rFonts w:hint="eastAsia"/>
          <w:b/>
          <w:bCs/>
          <w:lang w:val="en-US" w:eastAsia="zh-CN"/>
        </w:rPr>
        <w:t>2</w:t>
      </w:r>
      <w:r>
        <w:rPr>
          <w:b/>
          <w:bCs/>
        </w:rPr>
        <w:t>:</w:t>
      </w:r>
      <w:r>
        <w:rPr>
          <w:rFonts w:hint="eastAsia"/>
          <w:b/>
          <w:bCs/>
          <w:lang w:val="en-US" w:eastAsia="zh-CN"/>
        </w:rPr>
        <w:t xml:space="preserve"> Introduce an indication per QoE configuration to indicate </w:t>
      </w:r>
      <w:r>
        <w:rPr>
          <w:rFonts w:hint="eastAsia" w:cs="Times New Roman"/>
          <w:b/>
          <w:bCs w:val="0"/>
          <w:lang w:val="en-US" w:eastAsia="zh-CN"/>
        </w:rPr>
        <w:t xml:space="preserve">whether autonomous switch report SRB type is allowed or not. </w:t>
      </w:r>
    </w:p>
    <w:p>
      <w:pPr>
        <w:pStyle w:val="3"/>
        <w:spacing w:line="360" w:lineRule="auto"/>
        <w:rPr>
          <w:rStyle w:val="25"/>
          <w:rFonts w:hint="default" w:ascii="Arial" w:hAnsi="Arial" w:eastAsia="宋体" w:cs="Arial"/>
          <w:b/>
          <w:bCs/>
          <w:color w:val="auto"/>
          <w:lang w:val="en-US" w:eastAsia="zh-CN"/>
        </w:rPr>
      </w:pPr>
      <w:r>
        <w:rPr>
          <w:rStyle w:val="25"/>
          <w:rFonts w:hint="eastAsia" w:ascii="Arial" w:hAnsi="Arial" w:eastAsia="宋体" w:cs="Arial"/>
          <w:b/>
          <w:bCs/>
          <w:color w:val="auto"/>
          <w:lang w:val="en-US" w:eastAsia="zh-CN"/>
        </w:rPr>
        <w:t>Pause/resume of QoE measurement</w:t>
      </w:r>
    </w:p>
    <w:p>
      <w:pPr>
        <w:spacing w:after="0"/>
        <w:jc w:val="both"/>
        <w:rPr>
          <w:rFonts w:hint="eastAsia"/>
          <w:color w:val="auto"/>
          <w:lang w:val="en-US" w:eastAsia="zh-CN"/>
        </w:rPr>
      </w:pPr>
      <w:r>
        <w:rPr>
          <w:rFonts w:hint="eastAsia" w:cs="Times New Roman"/>
          <w:bCs/>
          <w:lang w:val="en-US" w:eastAsia="zh-CN"/>
        </w:rPr>
        <w:t>Further</w:t>
      </w:r>
      <w:r>
        <w:rPr>
          <w:rFonts w:hint="eastAsia" w:cs="Times New Roman"/>
          <w:bCs/>
          <w:color w:val="auto"/>
          <w:lang w:val="en-US" w:eastAsia="zh-CN"/>
        </w:rPr>
        <w:t xml:space="preserve">more there are one ffs issue on whether </w:t>
      </w:r>
      <w:r>
        <w:rPr>
          <w:color w:val="auto"/>
          <w:lang w:eastAsia="zh-CN"/>
        </w:rPr>
        <w:t>paused QoE reports can be reported to SN (if SN is not overload).</w:t>
      </w:r>
      <w:r>
        <w:rPr>
          <w:rFonts w:hint="eastAsia"/>
          <w:color w:val="auto"/>
          <w:lang w:val="en-US" w:eastAsia="zh-CN"/>
        </w:rPr>
        <w:t xml:space="preserve"> In our understanding RAN2 has agreed that legacy pause-resume mechanism is reused in R18, which means the pause -resume is performed in per QoE configuration basis.Then the remaining issue is whether separate pause-resume over MN and SN is needed. </w:t>
      </w:r>
    </w:p>
    <w:p>
      <w:pPr>
        <w:spacing w:after="0"/>
        <w:jc w:val="both"/>
        <w:rPr>
          <w:rFonts w:hint="default" w:eastAsiaTheme="minorEastAsia"/>
          <w:lang w:val="en-US" w:eastAsia="zh-CN"/>
        </w:rPr>
      </w:pPr>
      <w:r>
        <w:rPr>
          <w:rFonts w:hint="eastAsia"/>
          <w:color w:val="auto"/>
          <w:lang w:val="en-US" w:eastAsia="zh-CN"/>
        </w:rPr>
        <w:t xml:space="preserve">In our understanding the reporting leg shall be controlled by the SRB type configuration, there is no need to mixed the configuration with pause-resume indication. In case both SRB4/5 is configured, if NW considers MN is overloaded and SN is not, then NW can reconfigure the SRB type from SRB4 to SRB5 to allow QoE report over SN or vice versa. Whereas pause-resume indication can be used when NW assumes both MN and SN is overloaded, and would like to pause the QoE report for all. </w:t>
      </w:r>
    </w:p>
    <w:p>
      <w:pPr>
        <w:spacing w:after="0"/>
        <w:rPr>
          <w:rFonts w:hint="eastAsia"/>
          <w:b/>
          <w:bCs/>
          <w:strike w:val="0"/>
          <w:dstrike w:val="0"/>
          <w:lang w:val="en-US" w:eastAsia="zh-CN"/>
        </w:rPr>
      </w:pPr>
      <w:r>
        <w:rPr>
          <w:rFonts w:hint="eastAsia"/>
          <w:b/>
          <w:bCs/>
          <w:strike w:val="0"/>
          <w:dstrike w:val="0"/>
          <w:lang w:val="en-US" w:eastAsia="zh-CN"/>
        </w:rPr>
        <w:t>Observation 8: QoE Report leg is controlled by SRB type configuration associated to the QoE configuration while the pause-resume indication is used to pause or resume the reporting in both legs, there is no need to mix two things.</w:t>
      </w:r>
    </w:p>
    <w:p>
      <w:pPr>
        <w:spacing w:after="0"/>
        <w:rPr>
          <w:rFonts w:hint="default"/>
          <w:b/>
          <w:bCs/>
          <w:strike w:val="0"/>
          <w:dstrike w:val="0"/>
          <w:lang w:val="en-US" w:eastAsia="zh-CN"/>
        </w:rPr>
      </w:pPr>
      <w:r>
        <w:rPr>
          <w:rFonts w:eastAsiaTheme="minorEastAsia"/>
          <w:color w:val="auto"/>
          <w:lang w:eastAsia="zh-CN"/>
        </w:rPr>
        <w:t>There</w:t>
      </w:r>
      <w:r>
        <w:rPr>
          <w:rFonts w:eastAsiaTheme="minorEastAsia"/>
          <w:lang w:eastAsia="zh-CN"/>
        </w:rPr>
        <w:t xml:space="preserve">fore, </w:t>
      </w:r>
      <w:r>
        <w:rPr>
          <w:rFonts w:hint="eastAsia"/>
          <w:lang w:val="en-US" w:eastAsia="zh-CN"/>
        </w:rPr>
        <w:t>based on above analysis no further</w:t>
      </w:r>
      <w:r>
        <w:rPr>
          <w:rFonts w:eastAsiaTheme="minorEastAsia"/>
          <w:lang w:eastAsia="zh-CN"/>
        </w:rPr>
        <w:t xml:space="preserve"> enhancements </w:t>
      </w:r>
      <w:r>
        <w:rPr>
          <w:rFonts w:hint="eastAsia"/>
          <w:lang w:val="en-US" w:eastAsia="zh-CN"/>
        </w:rPr>
        <w:t>on</w:t>
      </w:r>
      <w:r>
        <w:rPr>
          <w:rFonts w:eastAsiaTheme="minorEastAsia"/>
          <w:lang w:eastAsia="zh-CN"/>
        </w:rPr>
        <w:t xml:space="preserve"> pause</w:t>
      </w:r>
      <w:r>
        <w:rPr>
          <w:rFonts w:hint="eastAsia"/>
          <w:lang w:val="en-US" w:eastAsia="zh-CN"/>
        </w:rPr>
        <w:t>-resume mechanism</w:t>
      </w:r>
      <w:r>
        <w:rPr>
          <w:rFonts w:eastAsiaTheme="minorEastAsia"/>
          <w:lang w:eastAsia="zh-CN"/>
        </w:rPr>
        <w:t xml:space="preserve"> is needed. </w:t>
      </w:r>
    </w:p>
    <w:p>
      <w:pPr>
        <w:spacing w:after="0"/>
        <w:rPr>
          <w:rFonts w:hint="default"/>
          <w:b/>
          <w:bCs/>
          <w:strike w:val="0"/>
          <w:dstrike w:val="0"/>
          <w:lang w:val="en-US" w:eastAsia="zh-CN"/>
        </w:rPr>
      </w:pPr>
      <w:r>
        <w:rPr>
          <w:rFonts w:hint="eastAsia"/>
          <w:b/>
          <w:bCs/>
          <w:strike w:val="0"/>
          <w:dstrike w:val="0"/>
          <w:lang w:val="en-US" w:eastAsia="zh-CN"/>
        </w:rPr>
        <w:t>Proposal 3: No need to introduce further enhancement on pause-resume mechanism (e.g., pause-resume separately for MN/SN).</w:t>
      </w:r>
    </w:p>
    <w:p>
      <w:pPr>
        <w:rPr>
          <w:rFonts w:cs="Times New Roman"/>
          <w:bCs/>
          <w:lang w:eastAsia="zh-CN"/>
        </w:rPr>
      </w:pPr>
    </w:p>
    <w:bookmarkEnd w:id="1"/>
    <w:p>
      <w:pPr>
        <w:pStyle w:val="2"/>
        <w:rPr>
          <w:rFonts w:cs="Arial"/>
          <w:b/>
          <w:lang w:val="en-US"/>
        </w:rPr>
      </w:pPr>
      <w:bookmarkStart w:id="2" w:name="_Hlk83889356"/>
      <w:bookmarkStart w:id="3" w:name="_Hlk83889312"/>
      <w:r>
        <w:rPr>
          <w:rFonts w:cs="Arial"/>
          <w:b/>
          <w:lang w:val="en-US"/>
        </w:rPr>
        <w:t>Conclusion</w:t>
      </w:r>
    </w:p>
    <w:bookmarkEnd w:id="2"/>
    <w:p>
      <w:pPr>
        <w:pStyle w:val="13"/>
        <w:rPr>
          <w:rFonts w:ascii="Times New Roman" w:hAnsi="Times New Roman" w:cs="Times New Roman"/>
        </w:rPr>
      </w:pPr>
      <w:r>
        <w:rPr>
          <w:rFonts w:ascii="Times New Roman" w:hAnsi="Times New Roman" w:cs="Times New Roman"/>
        </w:rPr>
        <w:t xml:space="preserve">In </w:t>
      </w:r>
      <w:bookmarkStart w:id="4" w:name="_Hlk83889481"/>
      <w:r>
        <w:rPr>
          <w:rFonts w:ascii="Times New Roman" w:hAnsi="Times New Roman" w:cs="Times New Roman"/>
        </w:rPr>
        <w:t xml:space="preserve">previous sections, the following observations and proposals were made: </w:t>
      </w:r>
    </w:p>
    <w:p>
      <w:pPr>
        <w:spacing w:after="120" w:afterLines="50"/>
        <w:jc w:val="both"/>
        <w:rPr>
          <w:rFonts w:hint="eastAsia" w:cs="Times New Roman"/>
          <w:b w:val="0"/>
          <w:bCs/>
          <w:i/>
          <w:iCs/>
          <w:lang w:val="en-US" w:eastAsia="zh-CN"/>
        </w:rPr>
      </w:pPr>
      <w:r>
        <w:rPr>
          <w:rFonts w:hint="eastAsia" w:cs="Times New Roman"/>
          <w:b w:val="0"/>
          <w:bCs/>
          <w:i/>
          <w:iCs/>
          <w:lang w:val="en-US" w:eastAsia="zh-CN"/>
        </w:rPr>
        <w:t xml:space="preserve">Observation 1: RAN3 has agreed that SN can send an RVQoE </w:t>
      </w:r>
      <w:r>
        <w:rPr>
          <w:rFonts w:hint="eastAsia" w:ascii="Times New Roman" w:hAnsi="Times New Roman" w:cs="Times New Roman"/>
          <w:b w:val="0"/>
          <w:bCs/>
          <w:i/>
          <w:iCs/>
          <w:lang w:val="en-US" w:eastAsia="zh-CN"/>
        </w:rPr>
        <w:t xml:space="preserve">configuration directly to UE via SRB3 or in a transparent container </w:t>
      </w:r>
      <w:r>
        <w:rPr>
          <w:rFonts w:hint="eastAsia" w:cs="Times New Roman"/>
          <w:b w:val="0"/>
          <w:bCs/>
          <w:i/>
          <w:iCs/>
          <w:lang w:val="en-US" w:eastAsia="zh-CN"/>
        </w:rPr>
        <w:t>forwarded by</w:t>
      </w:r>
      <w:r>
        <w:rPr>
          <w:rFonts w:hint="eastAsia" w:ascii="Times New Roman" w:hAnsi="Times New Roman" w:cs="Times New Roman"/>
          <w:b w:val="0"/>
          <w:bCs/>
          <w:i/>
          <w:iCs/>
          <w:lang w:val="en-US" w:eastAsia="zh-CN"/>
        </w:rPr>
        <w:t xml:space="preserve"> MN</w:t>
      </w:r>
      <w:r>
        <w:rPr>
          <w:rFonts w:hint="eastAsia" w:cs="Times New Roman"/>
          <w:b w:val="0"/>
          <w:bCs/>
          <w:i/>
          <w:iCs/>
          <w:lang w:val="en-US" w:eastAsia="zh-CN"/>
        </w:rPr>
        <w:t xml:space="preserve"> via SRB1.</w:t>
      </w:r>
    </w:p>
    <w:p>
      <w:pPr>
        <w:jc w:val="both"/>
        <w:rPr>
          <w:rFonts w:hint="default" w:cs="Times New Roman"/>
          <w:b w:val="0"/>
          <w:bCs/>
          <w:i/>
          <w:iCs/>
          <w:lang w:val="en-US" w:eastAsia="zh-CN"/>
        </w:rPr>
      </w:pPr>
      <w:r>
        <w:rPr>
          <w:rFonts w:hint="eastAsia" w:cs="Times New Roman"/>
          <w:b w:val="0"/>
          <w:bCs/>
          <w:i/>
          <w:iCs/>
          <w:lang w:val="en-US" w:eastAsia="zh-CN"/>
        </w:rPr>
        <w:t xml:space="preserve">Observation 2: RAN2 needs to further discuss whether a QoE originally configured with an SRB type (e.g., SRB5) can autonomous switch to another SRB type (e.g., SRB4) when the configured SRB is released/suspended while there are available SRB type for QoE reports. </w:t>
      </w:r>
    </w:p>
    <w:p>
      <w:pPr>
        <w:jc w:val="both"/>
        <w:rPr>
          <w:rFonts w:hint="default" w:cs="Times New Roman"/>
          <w:b w:val="0"/>
          <w:bCs/>
          <w:i/>
          <w:iCs/>
          <w:lang w:val="en-US" w:eastAsia="zh-CN"/>
        </w:rPr>
      </w:pPr>
      <w:r>
        <w:rPr>
          <w:rFonts w:hint="eastAsia" w:cs="Times New Roman"/>
          <w:b w:val="0"/>
          <w:bCs/>
          <w:i/>
          <w:iCs/>
          <w:lang w:val="en-US" w:eastAsia="zh-CN"/>
        </w:rPr>
        <w:t>Observation 3: Autonomous fallback to other SRB for reporting is efficient but may risk of the exposing RVQoE to other nodes or the receiving node may not knows the necessary information for forwarding the QoE report.</w:t>
      </w:r>
    </w:p>
    <w:p>
      <w:pPr>
        <w:jc w:val="both"/>
        <w:rPr>
          <w:rFonts w:hint="eastAsia" w:cs="Times New Roman"/>
          <w:bCs/>
          <w:i/>
          <w:iCs/>
          <w:lang w:val="en-US" w:eastAsia="zh-CN"/>
        </w:rPr>
      </w:pPr>
      <w:r>
        <w:rPr>
          <w:rFonts w:hint="eastAsia" w:cs="Times New Roman"/>
          <w:b w:val="0"/>
          <w:bCs/>
          <w:i/>
          <w:iCs/>
          <w:lang w:val="en-US" w:eastAsia="zh-CN"/>
        </w:rPr>
        <w:t>Observation 4: RAN3 has reached above agreements which indicates that the leg switch for QoE reporting needs to be approved by both nodes serving the UE.</w:t>
      </w:r>
      <w:r>
        <w:rPr>
          <w:rFonts w:hint="eastAsia" w:cs="Times New Roman"/>
          <w:bCs/>
          <w:i/>
          <w:iCs/>
          <w:lang w:val="en-US" w:eastAsia="zh-CN"/>
        </w:rPr>
        <w:t xml:space="preserve"> </w:t>
      </w:r>
    </w:p>
    <w:p>
      <w:pPr>
        <w:jc w:val="both"/>
        <w:rPr>
          <w:rFonts w:hint="eastAsia" w:cs="Times New Roman"/>
          <w:b w:val="0"/>
          <w:bCs/>
          <w:i/>
          <w:iCs/>
          <w:lang w:val="en-US" w:eastAsia="zh-CN"/>
        </w:rPr>
      </w:pPr>
      <w:r>
        <w:rPr>
          <w:rFonts w:hint="eastAsia" w:cs="Times New Roman"/>
          <w:b w:val="0"/>
          <w:bCs/>
          <w:i/>
          <w:iCs/>
          <w:lang w:val="en-US" w:eastAsia="zh-CN"/>
        </w:rPr>
        <w:t xml:space="preserve">Observation 5: RAN3 has agreed that a node can forward the QoE reports to MCE directly if the QoE reference is known by the receiving node, which means if a QoE reference of QoE configuration is known to both MN/SN, then autonomous fallback to another SRB for reporting would be possible. </w:t>
      </w:r>
    </w:p>
    <w:p>
      <w:pPr>
        <w:jc w:val="both"/>
        <w:rPr>
          <w:rFonts w:hint="eastAsia" w:cs="Times New Roman"/>
          <w:b w:val="0"/>
          <w:bCs/>
          <w:i/>
          <w:iCs/>
          <w:lang w:val="en-US" w:eastAsia="zh-CN"/>
        </w:rPr>
      </w:pPr>
      <w:r>
        <w:rPr>
          <w:rFonts w:hint="eastAsia" w:cs="Times New Roman"/>
          <w:b w:val="0"/>
          <w:bCs/>
          <w:i/>
          <w:iCs/>
          <w:lang w:val="en-US" w:eastAsia="zh-CN"/>
        </w:rPr>
        <w:t xml:space="preserve">Observation 6: For RVQoE report, whether to allow autonomous switch report leg depends on different NW consideration on the time-requirement of RVQoE report and the willingness to share RVQoE report to other node. </w:t>
      </w:r>
    </w:p>
    <w:p>
      <w:pPr>
        <w:jc w:val="both"/>
        <w:rPr>
          <w:rFonts w:hint="default" w:cs="Times New Roman"/>
          <w:b w:val="0"/>
          <w:bCs/>
          <w:i/>
          <w:iCs/>
          <w:lang w:val="en-US" w:eastAsia="zh-CN"/>
        </w:rPr>
      </w:pPr>
      <w:r>
        <w:rPr>
          <w:rFonts w:hint="eastAsia" w:cs="Times New Roman"/>
          <w:b w:val="0"/>
          <w:bCs/>
          <w:i/>
          <w:iCs/>
          <w:lang w:val="en-US" w:eastAsia="zh-CN"/>
        </w:rPr>
        <w:t>Observation 7: An indication to indicate whether autonomous switch report SRB type is allowed or not can be configured per QoE configuration, which balance between report efficiency and NW</w:t>
      </w:r>
      <w:r>
        <w:rPr>
          <w:rFonts w:hint="default" w:cs="Times New Roman"/>
          <w:b w:val="0"/>
          <w:bCs/>
          <w:i/>
          <w:iCs/>
          <w:lang w:val="en-US" w:eastAsia="zh-CN"/>
        </w:rPr>
        <w:t>’</w:t>
      </w:r>
      <w:r>
        <w:rPr>
          <w:rFonts w:hint="eastAsia" w:cs="Times New Roman"/>
          <w:b w:val="0"/>
          <w:bCs/>
          <w:i/>
          <w:iCs/>
          <w:lang w:val="en-US" w:eastAsia="zh-CN"/>
        </w:rPr>
        <w:t>s requirements on report forwarding  as well as privacy.</w:t>
      </w:r>
    </w:p>
    <w:p>
      <w:pPr>
        <w:spacing w:after="0"/>
        <w:rPr>
          <w:rFonts w:hint="default"/>
          <w:b w:val="0"/>
          <w:bCs/>
          <w:i/>
          <w:iCs/>
          <w:strike w:val="0"/>
          <w:dstrike w:val="0"/>
          <w:lang w:val="en-US" w:eastAsia="zh-CN"/>
        </w:rPr>
      </w:pPr>
      <w:r>
        <w:rPr>
          <w:rFonts w:hint="eastAsia"/>
          <w:b w:val="0"/>
          <w:bCs/>
          <w:i/>
          <w:iCs/>
          <w:strike w:val="0"/>
          <w:dstrike w:val="0"/>
          <w:lang w:val="en-US" w:eastAsia="zh-CN"/>
        </w:rPr>
        <w:t>Observation 8: QoE Report leg is controlled by SRB type configuration associated to the QoE configuration while the pause-resume indication is used to pause or resume the reporting in both legs, there is no need to mix two things.</w:t>
      </w:r>
    </w:p>
    <w:p>
      <w:pPr>
        <w:spacing w:after="120" w:afterLines="50"/>
        <w:jc w:val="both"/>
      </w:pPr>
      <w:r>
        <w:rPr>
          <w:rFonts w:hint="eastAsia"/>
          <w:b/>
          <w:bCs/>
          <w:lang w:eastAsia="zh-CN"/>
        </w:rPr>
        <w:t xml:space="preserve">Proposal </w:t>
      </w:r>
      <w:r>
        <w:rPr>
          <w:rFonts w:hint="eastAsia"/>
          <w:b/>
          <w:bCs/>
          <w:lang w:val="en-US" w:eastAsia="zh-CN"/>
        </w:rPr>
        <w:t>1</w:t>
      </w:r>
      <w:r>
        <w:rPr>
          <w:rFonts w:hint="eastAsia"/>
          <w:b/>
          <w:bCs/>
          <w:lang w:eastAsia="zh-CN"/>
        </w:rPr>
        <w:t>: For</w:t>
      </w:r>
      <w:r>
        <w:rPr>
          <w:rFonts w:hint="eastAsia"/>
          <w:b/>
          <w:bCs/>
          <w:lang w:val="en-US" w:eastAsia="zh-CN"/>
        </w:rPr>
        <w:t xml:space="preserve"> RVQoE configuration</w:t>
      </w:r>
      <w:r>
        <w:rPr>
          <w:rFonts w:hint="eastAsia"/>
          <w:b/>
          <w:bCs/>
          <w:lang w:eastAsia="zh-CN"/>
        </w:rPr>
        <w:t xml:space="preserve">, </w:t>
      </w:r>
      <w:r>
        <w:rPr>
          <w:rFonts w:hint="eastAsia"/>
          <w:b/>
          <w:bCs/>
          <w:lang w:val="en-US" w:eastAsia="zh-CN"/>
        </w:rPr>
        <w:t xml:space="preserve">SN can </w:t>
      </w:r>
      <w:r>
        <w:rPr>
          <w:rFonts w:hint="eastAsia"/>
          <w:b/>
          <w:bCs/>
          <w:lang w:eastAsia="zh-CN"/>
        </w:rPr>
        <w:t xml:space="preserve">configure the QoE configuration </w:t>
      </w:r>
      <w:r>
        <w:rPr>
          <w:rFonts w:hint="eastAsia"/>
          <w:b/>
          <w:bCs/>
          <w:lang w:val="en-US" w:eastAsia="zh-CN"/>
        </w:rPr>
        <w:t xml:space="preserve">directly </w:t>
      </w:r>
      <w:r>
        <w:rPr>
          <w:rFonts w:hint="eastAsia"/>
          <w:b/>
          <w:bCs/>
          <w:lang w:eastAsia="zh-CN"/>
        </w:rPr>
        <w:t xml:space="preserve">to UE </w:t>
      </w:r>
      <w:r>
        <w:rPr>
          <w:b/>
          <w:bCs/>
          <w:lang w:eastAsia="zh-CN"/>
        </w:rPr>
        <w:t>through</w:t>
      </w:r>
      <w:r>
        <w:rPr>
          <w:rFonts w:hint="eastAsia"/>
          <w:b/>
          <w:bCs/>
          <w:lang w:val="en-US" w:eastAsia="zh-CN"/>
        </w:rPr>
        <w:t xml:space="preserve"> SRB3, or forwarded by MN via SRB1 as part of SN </w:t>
      </w:r>
      <w:r>
        <w:rPr>
          <w:rFonts w:hint="eastAsia"/>
          <w:b/>
          <w:bCs/>
          <w:i/>
          <w:iCs/>
          <w:lang w:val="en-US" w:eastAsia="zh-CN"/>
        </w:rPr>
        <w:t>RRCReconfiguration</w:t>
      </w:r>
      <w:r>
        <w:rPr>
          <w:rFonts w:hint="eastAsia"/>
          <w:b/>
          <w:bCs/>
          <w:lang w:val="en-US" w:eastAsia="zh-CN"/>
        </w:rPr>
        <w:t xml:space="preserve"> container (e.g., in </w:t>
      </w:r>
      <w:r>
        <w:rPr>
          <w:rFonts w:hint="eastAsia"/>
          <w:b/>
          <w:bCs/>
          <w:i/>
          <w:iCs/>
          <w:lang w:val="en-US" w:eastAsia="zh-CN"/>
        </w:rPr>
        <w:t>mrdc-SecondaryCellGroup)</w:t>
      </w:r>
      <w:r>
        <w:rPr>
          <w:rFonts w:hint="eastAsia"/>
          <w:b/>
          <w:bCs/>
          <w:lang w:val="en-US" w:eastAsia="zh-CN"/>
        </w:rPr>
        <w:t xml:space="preserve"> included in MN </w:t>
      </w:r>
      <w:r>
        <w:rPr>
          <w:rFonts w:hint="eastAsia"/>
          <w:b/>
          <w:bCs/>
          <w:i/>
          <w:iCs/>
          <w:lang w:val="en-US" w:eastAsia="zh-CN"/>
        </w:rPr>
        <w:t>RRCReconfiguration</w:t>
      </w:r>
      <w:r>
        <w:rPr>
          <w:rFonts w:hint="eastAsia"/>
          <w:b/>
          <w:bCs/>
          <w:lang w:val="en-US" w:eastAsia="zh-CN"/>
        </w:rPr>
        <w:t xml:space="preserve"> message. </w:t>
      </w:r>
    </w:p>
    <w:p>
      <w:pPr>
        <w:jc w:val="both"/>
        <w:rPr>
          <w:rFonts w:hint="default" w:ascii="Arial" w:hAnsi="Arial" w:eastAsia="宋体" w:cs="Arial"/>
          <w:i w:val="0"/>
          <w:caps w:val="0"/>
          <w:color w:val="000000"/>
          <w:spacing w:val="0"/>
          <w:sz w:val="18"/>
          <w:szCs w:val="18"/>
          <w:shd w:val="clear" w:fill="FFFFFF"/>
          <w:lang w:val="en-US" w:eastAsia="zh-CN"/>
        </w:rPr>
      </w:pPr>
      <w:r>
        <w:rPr>
          <w:b/>
          <w:bCs/>
        </w:rPr>
        <w:t>Proposa</w:t>
      </w:r>
      <w:r>
        <w:rPr>
          <w:rFonts w:hint="eastAsia"/>
          <w:b/>
          <w:bCs/>
          <w:lang w:eastAsia="zh-CN"/>
        </w:rPr>
        <w:t xml:space="preserve">l </w:t>
      </w:r>
      <w:r>
        <w:rPr>
          <w:rFonts w:hint="eastAsia"/>
          <w:b/>
          <w:bCs/>
          <w:lang w:val="en-US" w:eastAsia="zh-CN"/>
        </w:rPr>
        <w:t>2</w:t>
      </w:r>
      <w:r>
        <w:rPr>
          <w:b/>
          <w:bCs/>
        </w:rPr>
        <w:t>:</w:t>
      </w:r>
      <w:r>
        <w:rPr>
          <w:rFonts w:hint="eastAsia"/>
          <w:b/>
          <w:bCs/>
          <w:lang w:val="en-US" w:eastAsia="zh-CN"/>
        </w:rPr>
        <w:t xml:space="preserve"> Introduce an indication per QoE configuration to indicate </w:t>
      </w:r>
      <w:r>
        <w:rPr>
          <w:rFonts w:hint="eastAsia" w:cs="Times New Roman"/>
          <w:b/>
          <w:bCs w:val="0"/>
          <w:lang w:val="en-US" w:eastAsia="zh-CN"/>
        </w:rPr>
        <w:t>whether autonomous switch report SRB type is allowed or not.</w:t>
      </w:r>
    </w:p>
    <w:p>
      <w:pPr>
        <w:spacing w:after="0"/>
        <w:rPr>
          <w:rFonts w:hint="default"/>
          <w:b/>
          <w:bCs/>
          <w:strike w:val="0"/>
          <w:dstrike w:val="0"/>
          <w:lang w:val="en-US" w:eastAsia="zh-CN"/>
        </w:rPr>
      </w:pPr>
      <w:r>
        <w:rPr>
          <w:rFonts w:hint="eastAsia"/>
          <w:b/>
          <w:bCs/>
          <w:strike w:val="0"/>
          <w:dstrike w:val="0"/>
          <w:lang w:val="en-US" w:eastAsia="zh-CN"/>
        </w:rPr>
        <w:t>Proposal 3: No need to introduce further enhancement on pause-resume mechanism (e.g., pause-resume separately for MN/SN).</w:t>
      </w:r>
    </w:p>
    <w:p>
      <w:pPr>
        <w:spacing w:after="0"/>
      </w:pPr>
      <w:r>
        <w:rPr>
          <w:rFonts w:cs="Arial"/>
          <w:bCs/>
        </w:rPr>
        <w:fldChar w:fldCharType="begin"/>
      </w:r>
      <w:r>
        <w:rPr>
          <w:rFonts w:cs="Arial"/>
          <w:bCs/>
        </w:rPr>
        <w:instrText xml:space="preserve"> TOC \n \h \z \t "Proposal" \c </w:instrText>
      </w:r>
      <w:r>
        <w:rPr>
          <w:rFonts w:cs="Arial"/>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3"/>
      <w:bookmarkEnd w:id="4"/>
      <w:r>
        <w:rPr>
          <w:rFonts w:ascii="Arial" w:hAnsi="Arial" w:eastAsia="Times New Roman" w:cs="Times New Roman"/>
          <w:sz w:val="36"/>
          <w:szCs w:val="20"/>
          <w:lang w:eastAsia="ja-JP"/>
        </w:rPr>
        <w:t xml:space="preserve"> References</w:t>
      </w:r>
    </w:p>
    <w:p>
      <w:pPr>
        <w:pStyle w:val="47"/>
        <w:numPr>
          <w:ilvl w:val="0"/>
          <w:numId w:val="9"/>
        </w:numPr>
        <w:rPr>
          <w:rFonts w:cs="Arial"/>
          <w:color w:val="000000"/>
        </w:rPr>
      </w:pPr>
      <w:bookmarkStart w:id="5"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p>
    <w:p>
      <w:pPr>
        <w:pStyle w:val="14"/>
        <w:numPr>
          <w:ilvl w:val="0"/>
          <w:numId w:val="0"/>
        </w:numPr>
        <w:ind w:left="426"/>
        <w:rPr>
          <w:lang w:val="en-US"/>
        </w:rPr>
      </w:pPr>
      <w:r>
        <w:rPr>
          <w:lang w:val="en-US"/>
        </w:rPr>
        <w:t xml:space="preserve"> </w:t>
      </w:r>
      <w:bookmarkEnd w:id="5"/>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2">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FDAE259"/>
    <w:multiLevelType w:val="singleLevel"/>
    <w:tmpl w:val="7FDAE259"/>
    <w:lvl w:ilvl="0" w:tentative="0">
      <w:start w:val="1"/>
      <w:numFmt w:val="bullet"/>
      <w:lvlText w:val=""/>
      <w:lvlJc w:val="left"/>
      <w:pPr>
        <w:ind w:left="420" w:hanging="420"/>
      </w:pPr>
      <w:rPr>
        <w:rFonts w:hint="default" w:ascii="Wingdings" w:hAnsi="Wingdings"/>
      </w:rPr>
    </w:lvl>
  </w:abstractNum>
  <w:num w:numId="1">
    <w:abstractNumId w:val="1"/>
  </w:num>
  <w:num w:numId="2">
    <w:abstractNumId w:val="7"/>
  </w:num>
  <w:num w:numId="3">
    <w:abstractNumId w:val="3"/>
  </w:num>
  <w:num w:numId="4">
    <w:abstractNumId w:val="5"/>
  </w:num>
  <w:num w:numId="5">
    <w:abstractNumId w:val="6"/>
  </w:num>
  <w:num w:numId="6">
    <w:abstractNumId w:val="0"/>
  </w:num>
  <w:num w:numId="7">
    <w:abstractNumId w:val="2"/>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51BE"/>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5EF1"/>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1C12"/>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1C1"/>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5C44"/>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3C37"/>
    <w:rsid w:val="00BB42B5"/>
    <w:rsid w:val="00BB46D9"/>
    <w:rsid w:val="00BB518F"/>
    <w:rsid w:val="00BB7514"/>
    <w:rsid w:val="00BC19F9"/>
    <w:rsid w:val="00BC2305"/>
    <w:rsid w:val="00BC39FB"/>
    <w:rsid w:val="00BC3E64"/>
    <w:rsid w:val="00BC3F42"/>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6BFD"/>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10DE"/>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0461"/>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54632"/>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1E6607E"/>
    <w:rsid w:val="06D0D49D"/>
    <w:rsid w:val="070A7848"/>
    <w:rsid w:val="09375020"/>
    <w:rsid w:val="09C948EF"/>
    <w:rsid w:val="0BFB12C2"/>
    <w:rsid w:val="0E3E9496"/>
    <w:rsid w:val="0E5F9CB4"/>
    <w:rsid w:val="0F0EE4C1"/>
    <w:rsid w:val="0FA0424B"/>
    <w:rsid w:val="121A43C3"/>
    <w:rsid w:val="12496A3B"/>
    <w:rsid w:val="14743F25"/>
    <w:rsid w:val="15A77CF7"/>
    <w:rsid w:val="15EFE608"/>
    <w:rsid w:val="16EC3701"/>
    <w:rsid w:val="1725558F"/>
    <w:rsid w:val="1C6C6FE7"/>
    <w:rsid w:val="1C7B0ADB"/>
    <w:rsid w:val="1D954282"/>
    <w:rsid w:val="1DFBF6E4"/>
    <w:rsid w:val="1E9578E3"/>
    <w:rsid w:val="1F4C11C0"/>
    <w:rsid w:val="1FED5282"/>
    <w:rsid w:val="202A7EF7"/>
    <w:rsid w:val="24BE5892"/>
    <w:rsid w:val="26882CCD"/>
    <w:rsid w:val="26F7BF4C"/>
    <w:rsid w:val="27CB1F54"/>
    <w:rsid w:val="27FFA541"/>
    <w:rsid w:val="297DC4A8"/>
    <w:rsid w:val="2B2C6474"/>
    <w:rsid w:val="2BAF152E"/>
    <w:rsid w:val="2D2E6356"/>
    <w:rsid w:val="2F8E5407"/>
    <w:rsid w:val="30DE7E5D"/>
    <w:rsid w:val="315601A1"/>
    <w:rsid w:val="316A5656"/>
    <w:rsid w:val="31FE24B3"/>
    <w:rsid w:val="326A457D"/>
    <w:rsid w:val="341E1712"/>
    <w:rsid w:val="34674028"/>
    <w:rsid w:val="36EE39A5"/>
    <w:rsid w:val="38316253"/>
    <w:rsid w:val="38612C28"/>
    <w:rsid w:val="38E5511B"/>
    <w:rsid w:val="396D586C"/>
    <w:rsid w:val="39F73F8B"/>
    <w:rsid w:val="3A00635D"/>
    <w:rsid w:val="3A6D81E3"/>
    <w:rsid w:val="3AB0450D"/>
    <w:rsid w:val="3BE3D02D"/>
    <w:rsid w:val="3BFF0C49"/>
    <w:rsid w:val="3DFFB085"/>
    <w:rsid w:val="3E77BAA0"/>
    <w:rsid w:val="3E985826"/>
    <w:rsid w:val="3F5C23BF"/>
    <w:rsid w:val="3F6203BF"/>
    <w:rsid w:val="3FF79F2F"/>
    <w:rsid w:val="3FFA43A6"/>
    <w:rsid w:val="3FFADB85"/>
    <w:rsid w:val="3FFD5D3E"/>
    <w:rsid w:val="3FFD8422"/>
    <w:rsid w:val="3FFF5780"/>
    <w:rsid w:val="414D6875"/>
    <w:rsid w:val="419C32FA"/>
    <w:rsid w:val="42987A24"/>
    <w:rsid w:val="42BF1091"/>
    <w:rsid w:val="43CD7E63"/>
    <w:rsid w:val="44181307"/>
    <w:rsid w:val="456D246E"/>
    <w:rsid w:val="457B68DE"/>
    <w:rsid w:val="462420DE"/>
    <w:rsid w:val="464F5DCC"/>
    <w:rsid w:val="4693A455"/>
    <w:rsid w:val="492B480D"/>
    <w:rsid w:val="49D1242C"/>
    <w:rsid w:val="4C7A55EA"/>
    <w:rsid w:val="4DB13AC8"/>
    <w:rsid w:val="4DC61830"/>
    <w:rsid w:val="513A5D24"/>
    <w:rsid w:val="52E1277A"/>
    <w:rsid w:val="53506A14"/>
    <w:rsid w:val="5376F47B"/>
    <w:rsid w:val="539A241D"/>
    <w:rsid w:val="53B06961"/>
    <w:rsid w:val="53DBFC72"/>
    <w:rsid w:val="54140328"/>
    <w:rsid w:val="55FD291D"/>
    <w:rsid w:val="56DD3CBA"/>
    <w:rsid w:val="570E7D91"/>
    <w:rsid w:val="5752678E"/>
    <w:rsid w:val="57A84624"/>
    <w:rsid w:val="57DBF499"/>
    <w:rsid w:val="57F9F4C0"/>
    <w:rsid w:val="5A49DD30"/>
    <w:rsid w:val="5A874152"/>
    <w:rsid w:val="5B0F4579"/>
    <w:rsid w:val="5B47CE77"/>
    <w:rsid w:val="5B7D3FDD"/>
    <w:rsid w:val="5BBF1214"/>
    <w:rsid w:val="5CFFB94F"/>
    <w:rsid w:val="5DFE3D30"/>
    <w:rsid w:val="5EB79E98"/>
    <w:rsid w:val="5EDA4C83"/>
    <w:rsid w:val="5EE6136B"/>
    <w:rsid w:val="5F236657"/>
    <w:rsid w:val="5F329599"/>
    <w:rsid w:val="5FA520D2"/>
    <w:rsid w:val="5FD43898"/>
    <w:rsid w:val="60A80188"/>
    <w:rsid w:val="61B37ED5"/>
    <w:rsid w:val="62FF9A58"/>
    <w:rsid w:val="661770E1"/>
    <w:rsid w:val="66DE7035"/>
    <w:rsid w:val="677D7344"/>
    <w:rsid w:val="67E56CE4"/>
    <w:rsid w:val="6843BC62"/>
    <w:rsid w:val="68522667"/>
    <w:rsid w:val="691275D4"/>
    <w:rsid w:val="6962E34B"/>
    <w:rsid w:val="69E5BA5C"/>
    <w:rsid w:val="6A0875FF"/>
    <w:rsid w:val="6AEC7E8E"/>
    <w:rsid w:val="6B0278D1"/>
    <w:rsid w:val="6C286E44"/>
    <w:rsid w:val="6C76434F"/>
    <w:rsid w:val="6CA8A0BD"/>
    <w:rsid w:val="6CF94B0A"/>
    <w:rsid w:val="6D074150"/>
    <w:rsid w:val="6DF7F8C1"/>
    <w:rsid w:val="6DFF82F9"/>
    <w:rsid w:val="6E6F6473"/>
    <w:rsid w:val="6EBD79AA"/>
    <w:rsid w:val="6EDFE721"/>
    <w:rsid w:val="6F7FE3F0"/>
    <w:rsid w:val="6F9D4C7A"/>
    <w:rsid w:val="6FBF69E8"/>
    <w:rsid w:val="6FC7F1BE"/>
    <w:rsid w:val="6FE732C1"/>
    <w:rsid w:val="71B722E2"/>
    <w:rsid w:val="727428C1"/>
    <w:rsid w:val="7368719F"/>
    <w:rsid w:val="737EFC44"/>
    <w:rsid w:val="737F5333"/>
    <w:rsid w:val="73F64E03"/>
    <w:rsid w:val="73FF9F8C"/>
    <w:rsid w:val="744F2812"/>
    <w:rsid w:val="757BF952"/>
    <w:rsid w:val="767F27D6"/>
    <w:rsid w:val="76F43E69"/>
    <w:rsid w:val="772E1279"/>
    <w:rsid w:val="776F5A8F"/>
    <w:rsid w:val="776FEFA2"/>
    <w:rsid w:val="77EECA84"/>
    <w:rsid w:val="7866265F"/>
    <w:rsid w:val="78E12248"/>
    <w:rsid w:val="79C13443"/>
    <w:rsid w:val="79E13B9D"/>
    <w:rsid w:val="7A1E2EED"/>
    <w:rsid w:val="7A6E44C1"/>
    <w:rsid w:val="7AA3A95B"/>
    <w:rsid w:val="7AA9E0DC"/>
    <w:rsid w:val="7AB17601"/>
    <w:rsid w:val="7AD659AC"/>
    <w:rsid w:val="7B747242"/>
    <w:rsid w:val="7B751B3D"/>
    <w:rsid w:val="7BDF7CED"/>
    <w:rsid w:val="7BF5E087"/>
    <w:rsid w:val="7BFBF581"/>
    <w:rsid w:val="7BFF5FD0"/>
    <w:rsid w:val="7DB7BF42"/>
    <w:rsid w:val="7DBB01E5"/>
    <w:rsid w:val="7DBBD3E5"/>
    <w:rsid w:val="7DC614CD"/>
    <w:rsid w:val="7E6FD489"/>
    <w:rsid w:val="7E7F0942"/>
    <w:rsid w:val="7EB31986"/>
    <w:rsid w:val="7EBB602A"/>
    <w:rsid w:val="7EBF876E"/>
    <w:rsid w:val="7ECCADB2"/>
    <w:rsid w:val="7EEEEF79"/>
    <w:rsid w:val="7EF62DE7"/>
    <w:rsid w:val="7EF7A453"/>
    <w:rsid w:val="7F4336EA"/>
    <w:rsid w:val="7F6FC3DB"/>
    <w:rsid w:val="7F7D579B"/>
    <w:rsid w:val="7F7D7656"/>
    <w:rsid w:val="7F992501"/>
    <w:rsid w:val="7FA2C79D"/>
    <w:rsid w:val="7FB6D2B2"/>
    <w:rsid w:val="7FBF5124"/>
    <w:rsid w:val="7FBFFF87"/>
    <w:rsid w:val="7FDE9AA9"/>
    <w:rsid w:val="7FE3032F"/>
    <w:rsid w:val="7FEC6F91"/>
    <w:rsid w:val="7FFB8F88"/>
    <w:rsid w:val="7FFC79F9"/>
    <w:rsid w:val="7FFD7C04"/>
    <w:rsid w:val="7FFF4E36"/>
    <w:rsid w:val="7FFFB156"/>
    <w:rsid w:val="8EF50D8E"/>
    <w:rsid w:val="9B3F6C7C"/>
    <w:rsid w:val="9BAE45FC"/>
    <w:rsid w:val="9EF63205"/>
    <w:rsid w:val="9FEBC12F"/>
    <w:rsid w:val="9FFFC288"/>
    <w:rsid w:val="A3DE6C07"/>
    <w:rsid w:val="AAD38468"/>
    <w:rsid w:val="ABEE53F4"/>
    <w:rsid w:val="AF9FE9FA"/>
    <w:rsid w:val="B57E36BC"/>
    <w:rsid w:val="B65A7AAE"/>
    <w:rsid w:val="BAF9DAC9"/>
    <w:rsid w:val="BB6C1E6C"/>
    <w:rsid w:val="BBCB115D"/>
    <w:rsid w:val="BBFC745E"/>
    <w:rsid w:val="BCF5EDDE"/>
    <w:rsid w:val="BD7E460E"/>
    <w:rsid w:val="BDDF77C8"/>
    <w:rsid w:val="BE7E8A05"/>
    <w:rsid w:val="BE7EEE76"/>
    <w:rsid w:val="BEBFB4D1"/>
    <w:rsid w:val="BF3F4E4A"/>
    <w:rsid w:val="BFBCA0CF"/>
    <w:rsid w:val="BFCEF061"/>
    <w:rsid w:val="BFDF84EB"/>
    <w:rsid w:val="BFEE72EF"/>
    <w:rsid w:val="BFF76D42"/>
    <w:rsid w:val="BFF90683"/>
    <w:rsid w:val="C6FB4D67"/>
    <w:rsid w:val="C7FF8FB4"/>
    <w:rsid w:val="C8FF51BA"/>
    <w:rsid w:val="CB91F186"/>
    <w:rsid w:val="CBCF3CC7"/>
    <w:rsid w:val="CBFF8685"/>
    <w:rsid w:val="CF3F5F84"/>
    <w:rsid w:val="CF4714AE"/>
    <w:rsid w:val="D37F4C68"/>
    <w:rsid w:val="D575FC31"/>
    <w:rsid w:val="D5F5B8E6"/>
    <w:rsid w:val="D68D1050"/>
    <w:rsid w:val="D6B5EB0A"/>
    <w:rsid w:val="D6F774BC"/>
    <w:rsid w:val="D7E72850"/>
    <w:rsid w:val="D7F6DA9A"/>
    <w:rsid w:val="D9A77203"/>
    <w:rsid w:val="D9ADEA76"/>
    <w:rsid w:val="D9D4D66E"/>
    <w:rsid w:val="DBF91EB3"/>
    <w:rsid w:val="DDB75C8C"/>
    <w:rsid w:val="DDEC5EFC"/>
    <w:rsid w:val="DDFF1BDE"/>
    <w:rsid w:val="DEFC8A9A"/>
    <w:rsid w:val="DF76C881"/>
    <w:rsid w:val="DFCF44DD"/>
    <w:rsid w:val="DFED06EF"/>
    <w:rsid w:val="E4BF6A47"/>
    <w:rsid w:val="E6F26379"/>
    <w:rsid w:val="E73C6E01"/>
    <w:rsid w:val="E83D41F3"/>
    <w:rsid w:val="EAEABC4D"/>
    <w:rsid w:val="EAFD4DE0"/>
    <w:rsid w:val="EBF78488"/>
    <w:rsid w:val="EBFDAD4D"/>
    <w:rsid w:val="ED5FB71C"/>
    <w:rsid w:val="EDDFED59"/>
    <w:rsid w:val="EDFFE875"/>
    <w:rsid w:val="EFB334B9"/>
    <w:rsid w:val="F21A3672"/>
    <w:rsid w:val="F2FF8C5C"/>
    <w:rsid w:val="F3775739"/>
    <w:rsid w:val="F5FF9526"/>
    <w:rsid w:val="F63F3C85"/>
    <w:rsid w:val="F6657418"/>
    <w:rsid w:val="F6B552BA"/>
    <w:rsid w:val="F6F74066"/>
    <w:rsid w:val="F6FC273B"/>
    <w:rsid w:val="F79D2B10"/>
    <w:rsid w:val="F7ECBD19"/>
    <w:rsid w:val="F7EE441C"/>
    <w:rsid w:val="F7EE4F89"/>
    <w:rsid w:val="F9B7C2FB"/>
    <w:rsid w:val="F9BFB2A1"/>
    <w:rsid w:val="F9E377B6"/>
    <w:rsid w:val="FADD67B2"/>
    <w:rsid w:val="FAF7FD79"/>
    <w:rsid w:val="FB3B950C"/>
    <w:rsid w:val="FB4E9BD6"/>
    <w:rsid w:val="FBEFE8AE"/>
    <w:rsid w:val="FBF7563B"/>
    <w:rsid w:val="FBFAD513"/>
    <w:rsid w:val="FBFCBB6D"/>
    <w:rsid w:val="FBFFA049"/>
    <w:rsid w:val="FC71C2BC"/>
    <w:rsid w:val="FCCECD9C"/>
    <w:rsid w:val="FCD82315"/>
    <w:rsid w:val="FCF704CC"/>
    <w:rsid w:val="FCFB4383"/>
    <w:rsid w:val="FDDF1462"/>
    <w:rsid w:val="FDE71F62"/>
    <w:rsid w:val="FDFF4BA5"/>
    <w:rsid w:val="FDFFA44C"/>
    <w:rsid w:val="FEFE0680"/>
    <w:rsid w:val="FEFE7999"/>
    <w:rsid w:val="FF65430A"/>
    <w:rsid w:val="FF773F42"/>
    <w:rsid w:val="FF7FAC18"/>
    <w:rsid w:val="FF8FC82E"/>
    <w:rsid w:val="FFB1390D"/>
    <w:rsid w:val="FFBF71ED"/>
    <w:rsid w:val="FFCC92C0"/>
    <w:rsid w:val="FFCF8EED"/>
    <w:rsid w:val="FFD722E0"/>
    <w:rsid w:val="FFEBBC99"/>
    <w:rsid w:val="FFEF958A"/>
    <w:rsid w:val="FFF5A106"/>
    <w:rsid w:val="FFFA245F"/>
    <w:rsid w:val="FFFA6C2F"/>
    <w:rsid w:val="FFFB06A9"/>
    <w:rsid w:val="FFFC82C3"/>
    <w:rsid w:val="FFFCBACC"/>
    <w:rsid w:val="FFFD2A82"/>
    <w:rsid w:val="FFFFE764"/>
    <w:rsid w:val="FFFFE9C1"/>
    <w:rsid w:val="FFFFF0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12" w:lineRule="auto"/>
    </w:pPr>
    <w:rPr>
      <w:rFonts w:ascii="Times New Roman" w:hAnsi="Times New Roman" w:eastAsiaTheme="minorEastAsia" w:cstheme="minorBidi"/>
      <w:sz w:val="20"/>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 w:type="paragraph" w:customStyle="1" w:styleId="71">
    <w:name w:val="listparagraph3"/>
    <w:basedOn w:val="1"/>
    <w:semiHidden/>
    <w:qFormat/>
    <w:uiPriority w:val="0"/>
    <w:pPr>
      <w:spacing w:after="100" w:afterAutospacing="1"/>
    </w:pPr>
    <w:rPr>
      <w:rFonts w:ascii="Calibri" w:hAnsi="Calibri" w:eastAsia="宋体" w:cs="Calibri"/>
    </w:rPr>
  </w:style>
  <w:style w:type="paragraph" w:customStyle="1" w:styleId="72">
    <w:name w:val="TAL"/>
    <w:basedOn w:val="1"/>
    <w:qFormat/>
    <w:uiPriority w:val="0"/>
    <w:pPr>
      <w:keepNext/>
      <w:keepLines/>
      <w:spacing w:after="0"/>
    </w:pPr>
    <w:rPr>
      <w:rFonts w:ascii="Arial" w:hAnsi="Arial"/>
      <w:sz w:val="18"/>
    </w:rPr>
  </w:style>
  <w:style w:type="character" w:customStyle="1" w:styleId="73">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1424</Words>
  <Characters>8118</Characters>
  <Lines>67</Lines>
  <Paragraphs>19</Paragraphs>
  <TotalTime>0</TotalTime>
  <ScaleCrop>false</ScaleCrop>
  <LinksUpToDate>false</LinksUpToDate>
  <CharactersWithSpaces>9523</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2022-05-17T14:46:00Z</dcterms:created>
  <dc:creator>ZTE(Zhihong)</dc:creator>
  <cp:lastModifiedBy>ZTE-谈杰</cp:lastModifiedBy>
  <dcterms:modified xsi:type="dcterms:W3CDTF">2023-08-11T15:04:41Z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